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rPr>
          <w:rFonts w:ascii="Arial" w:hAnsi="Arial" w:cs="Arial" w:eastAsiaTheme="minorEastAsia"/>
          <w:bCs/>
          <w:szCs w:val="21"/>
        </w:rPr>
      </w:pPr>
      <w:r>
        <w:rPr>
          <w:rFonts w:ascii="Arial" w:hAnsi="Arial" w:cs="Arial" w:eastAsiaTheme="minorEastAsia"/>
          <w:bCs/>
          <w:szCs w:val="21"/>
        </w:rPr>
        <w:t>核准日期：</w:t>
      </w:r>
      <w:r>
        <w:rPr>
          <w:rFonts w:hint="eastAsia" w:ascii="Arial" w:hAnsi="Arial" w:cs="Arial" w:eastAsiaTheme="minorEastAsia"/>
          <w:bCs/>
          <w:szCs w:val="21"/>
        </w:rPr>
        <w:t>2</w:t>
      </w:r>
      <w:r>
        <w:rPr>
          <w:rFonts w:ascii="Arial" w:hAnsi="Arial" w:cs="Arial" w:eastAsiaTheme="minorEastAsia"/>
          <w:bCs/>
          <w:szCs w:val="21"/>
        </w:rPr>
        <w:t>019年</w:t>
      </w:r>
      <w:r>
        <w:rPr>
          <w:rFonts w:hint="eastAsia" w:ascii="Arial" w:hAnsi="Arial" w:cs="Arial" w:eastAsiaTheme="minorEastAsia"/>
          <w:bCs/>
          <w:szCs w:val="21"/>
        </w:rPr>
        <w:t>0</w:t>
      </w:r>
      <w:r>
        <w:rPr>
          <w:rFonts w:ascii="Arial" w:hAnsi="Arial" w:cs="Arial" w:eastAsiaTheme="minorEastAsia"/>
          <w:bCs/>
          <w:szCs w:val="21"/>
        </w:rPr>
        <w:t>8月</w:t>
      </w:r>
      <w:r>
        <w:rPr>
          <w:rFonts w:hint="eastAsia" w:ascii="Arial" w:hAnsi="Arial" w:cs="Arial" w:eastAsiaTheme="minorEastAsia"/>
          <w:bCs/>
          <w:szCs w:val="21"/>
        </w:rPr>
        <w:t>2</w:t>
      </w:r>
      <w:r>
        <w:rPr>
          <w:rFonts w:ascii="Arial" w:hAnsi="Arial" w:cs="Arial" w:eastAsiaTheme="minorEastAsia"/>
          <w:bCs/>
          <w:szCs w:val="21"/>
        </w:rPr>
        <w:t>9日</w:t>
      </w:r>
    </w:p>
    <w:p>
      <w:pPr>
        <w:ind w:firstLine="5760" w:firstLineChars="3200"/>
        <w:jc w:val="right"/>
        <w:rPr>
          <w:rFonts w:ascii="Arial" w:hAnsi="Arial" w:cs="Arial" w:eastAsiaTheme="minorEastAsia"/>
          <w:bCs/>
          <w:szCs w:val="21"/>
        </w:rPr>
      </w:pPr>
      <w:r>
        <w:rPr>
          <w:rFonts w:hint="eastAsia" w:ascii="Arial" w:hAnsi="Arial" w:cs="Arial"/>
          <w:sz w:val="18"/>
          <w:szCs w:val="18"/>
        </w:rPr>
        <w:t>常益</w:t>
      </w:r>
      <w:r>
        <w:rPr>
          <w:rFonts w:ascii="Arial" w:hAnsi="Arial" w:cs="Arial"/>
          <w:sz w:val="18"/>
          <w:szCs w:val="18"/>
          <w:vertAlign w:val="superscript"/>
        </w:rPr>
        <w:t>®</w:t>
      </w:r>
    </w:p>
    <w:p>
      <w:pPr>
        <w:spacing w:line="400" w:lineRule="exact"/>
        <w:jc w:val="center"/>
        <w:rPr>
          <w:rFonts w:ascii="Arial" w:hAnsi="Arial" w:cs="Arial"/>
          <w:b/>
          <w:sz w:val="30"/>
          <w:szCs w:val="30"/>
        </w:rPr>
      </w:pPr>
      <w:r>
        <w:rPr>
          <w:rFonts w:ascii="Arial" w:hAnsi="Arial" w:cs="Arial"/>
          <w:b/>
          <w:sz w:val="30"/>
          <w:szCs w:val="30"/>
        </w:rPr>
        <w:t>磷酸钠盐口服溶液说明书</w:t>
      </w:r>
    </w:p>
    <w:p>
      <w:pPr>
        <w:spacing w:after="156" w:afterLines="50" w:line="400" w:lineRule="exact"/>
        <w:jc w:val="center"/>
        <w:rPr>
          <w:rFonts w:ascii="Arial" w:hAnsi="Arial" w:cs="Arial"/>
          <w:sz w:val="18"/>
          <w:szCs w:val="18"/>
        </w:rPr>
      </w:pPr>
      <w:r>
        <w:rPr>
          <w:rFonts w:ascii="Arial" w:hAnsi="Arial" w:cs="Arial"/>
          <w:sz w:val="18"/>
          <w:szCs w:val="18"/>
        </w:rPr>
        <w:t>请仔细阅读说明书并在医师指导下使用</w:t>
      </w:r>
    </w:p>
    <w:tbl>
      <w:tblPr>
        <w:tblStyle w:val="32"/>
        <w:tblW w:w="9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9206" w:type="dxa"/>
            <w:vAlign w:val="center"/>
          </w:tcPr>
          <w:p>
            <w:pPr>
              <w:adjustRightInd w:val="0"/>
              <w:spacing w:before="156" w:beforeLines="50" w:after="156" w:afterLines="50"/>
              <w:contextualSpacing/>
              <w:rPr>
                <w:rFonts w:ascii="Arial" w:hAnsi="Arial" w:eastAsia="黑体" w:cs="Arial"/>
                <w:szCs w:val="21"/>
              </w:rPr>
            </w:pPr>
            <w:bookmarkStart w:id="0" w:name="OLE_LINK2"/>
            <w:r>
              <w:rPr>
                <w:rFonts w:ascii="Arial" w:hAnsi="Arial" w:eastAsia="黑体" w:cs="Arial"/>
                <w:bCs/>
                <w:kern w:val="0"/>
                <w:szCs w:val="21"/>
              </w:rPr>
              <w:t>警告</w:t>
            </w:r>
            <w:bookmarkEnd w:id="0"/>
            <w:r>
              <w:rPr>
                <w:rFonts w:ascii="Arial" w:hAnsi="Arial" w:eastAsia="黑体" w:cs="Arial"/>
                <w:bCs/>
                <w:kern w:val="0"/>
                <w:szCs w:val="21"/>
              </w:rPr>
              <w:t>：据报道，患者在内镜检查前服用磷酸钠盐制剂清理肠道可能发生罕见但严重的急性磷酸盐肾病。一些病例发生永久性肾功能损害，部分患者需要进行长期透析。某些发生病例无明确的高危因素，发生急性磷酸盐肾病的风险因素可能包括：年龄在55岁以上、血容量不足、肠蠕动异常（如肠梗阻）、活动性结肠炎、患有肾病、正在使用影响肾供血/肾功能的药物（如利尿剂、血管紧张素转换酶抑制剂、血管紧张素受体阻滞剂、非甾体抗炎药）。</w:t>
            </w:r>
          </w:p>
        </w:tc>
      </w:tr>
    </w:tbl>
    <w:p>
      <w:pPr>
        <w:adjustRightInd w:val="0"/>
        <w:spacing w:before="156" w:beforeLines="50" w:after="156" w:afterLines="50"/>
        <w:contextualSpacing/>
        <w:rPr>
          <w:rFonts w:ascii="Arial" w:hAnsi="Arial" w:cs="Arial" w:eastAsiaTheme="minorEastAsia"/>
          <w:b/>
          <w:szCs w:val="21"/>
        </w:rPr>
      </w:pP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【药品名称】</w:t>
      </w:r>
    </w:p>
    <w:p>
      <w:pPr>
        <w:tabs>
          <w:tab w:val="left" w:pos="6435"/>
        </w:tabs>
        <w:adjustRightInd w:val="0"/>
        <w:spacing w:line="400" w:lineRule="exact"/>
        <w:ind w:firstLine="420" w:firstLineChars="200"/>
        <w:contextualSpacing/>
        <w:jc w:val="left"/>
        <w:rPr>
          <w:rFonts w:ascii="Arial" w:hAnsi="Arial" w:cs="Arial"/>
          <w:szCs w:val="21"/>
          <w:shd w:val="clear" w:color="auto" w:fill="FFFFFF"/>
        </w:rPr>
      </w:pPr>
      <w:r>
        <w:rPr>
          <w:rFonts w:ascii="Arial" w:hAnsi="Arial" w:cs="Arial" w:eastAsiaTheme="minorEastAsia"/>
          <w:szCs w:val="21"/>
        </w:rPr>
        <w:t>通用名称：</w:t>
      </w:r>
      <w:r>
        <w:rPr>
          <w:rFonts w:ascii="Arial" w:hAnsi="Arial" w:cs="Arial"/>
          <w:szCs w:val="21"/>
          <w:shd w:val="clear" w:color="auto" w:fill="FFFFFF"/>
        </w:rPr>
        <w:t>磷酸钠盐口服溶液</w:t>
      </w:r>
    </w:p>
    <w:p>
      <w:pPr>
        <w:tabs>
          <w:tab w:val="left" w:pos="6435"/>
        </w:tabs>
        <w:adjustRightInd w:val="0"/>
        <w:spacing w:line="400" w:lineRule="exact"/>
        <w:ind w:firstLine="420" w:firstLineChars="200"/>
        <w:contextualSpacing/>
        <w:jc w:val="left"/>
        <w:rPr>
          <w:rFonts w:ascii="Arial" w:hAnsi="Arial" w:cs="Arial"/>
          <w:szCs w:val="21"/>
          <w:shd w:val="clear" w:color="auto" w:fill="FFFFFF"/>
        </w:rPr>
      </w:pPr>
      <w:r>
        <w:rPr>
          <w:rFonts w:ascii="Arial" w:hAnsi="Arial" w:cs="Arial" w:eastAsiaTheme="minorEastAsia"/>
          <w:szCs w:val="21"/>
        </w:rPr>
        <w:t>英文名称：</w:t>
      </w:r>
      <w:r>
        <w:rPr>
          <w:rFonts w:ascii="Arial" w:hAnsi="Arial" w:cs="Arial"/>
          <w:szCs w:val="21"/>
          <w:shd w:val="clear" w:color="auto" w:fill="FFFFFF"/>
        </w:rPr>
        <w:t>Sodium Phosphates Oral Solution</w:t>
      </w:r>
    </w:p>
    <w:p>
      <w:pPr>
        <w:tabs>
          <w:tab w:val="left" w:pos="6435"/>
        </w:tabs>
        <w:adjustRightInd w:val="0"/>
        <w:spacing w:line="400" w:lineRule="exact"/>
        <w:ind w:firstLine="420" w:firstLineChars="200"/>
        <w:contextualSpacing/>
        <w:jc w:val="left"/>
        <w:rPr>
          <w:rFonts w:ascii="Arial" w:hAnsi="Arial" w:cs="Arial"/>
          <w:szCs w:val="21"/>
          <w:shd w:val="clear" w:color="auto" w:fill="FFFFFF"/>
        </w:rPr>
      </w:pPr>
      <w:r>
        <w:rPr>
          <w:rFonts w:ascii="Arial" w:hAnsi="Arial" w:cs="Arial" w:eastAsiaTheme="minorEastAsia"/>
          <w:szCs w:val="21"/>
        </w:rPr>
        <w:t>汉语拼音：Linsuannayan Koufurongye</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w:t>
      </w:r>
      <w:r>
        <w:rPr>
          <w:rFonts w:hint="eastAsia" w:ascii="Arial" w:hAnsi="Arial" w:cs="Arial" w:eastAsiaTheme="minorEastAsia"/>
          <w:b/>
          <w:szCs w:val="21"/>
        </w:rPr>
        <w:t>成份</w:t>
      </w:r>
      <w:r>
        <w:rPr>
          <w:rFonts w:ascii="Arial" w:hAnsi="Arial" w:cs="Arial" w:eastAsiaTheme="minorEastAsia"/>
          <w:b/>
          <w:szCs w:val="21"/>
        </w:rPr>
        <w:t>】</w:t>
      </w:r>
    </w:p>
    <w:p>
      <w:pPr>
        <w:adjustRightInd w:val="0"/>
        <w:spacing w:line="400" w:lineRule="exact"/>
        <w:ind w:firstLine="420" w:firstLineChars="200"/>
        <w:contextualSpacing/>
        <w:rPr>
          <w:rFonts w:ascii="Arial" w:hAnsi="Arial" w:cs="Arial"/>
          <w:szCs w:val="21"/>
          <w:shd w:val="clear" w:color="auto" w:fill="FFFFFF"/>
        </w:rPr>
      </w:pPr>
      <w:r>
        <w:rPr>
          <w:rFonts w:ascii="Arial" w:hAnsi="Arial" w:cs="Arial"/>
          <w:szCs w:val="21"/>
          <w:shd w:val="clear" w:color="auto" w:fill="FFFFFF"/>
        </w:rPr>
        <w:t>本品为复方制剂，</w:t>
      </w:r>
      <w:r>
        <w:rPr>
          <w:rFonts w:hint="eastAsia" w:ascii="Arial" w:hAnsi="Arial" w:cs="Arial"/>
          <w:szCs w:val="21"/>
          <w:shd w:val="clear" w:color="auto" w:fill="FFFFFF"/>
        </w:rPr>
        <w:t>其</w:t>
      </w:r>
      <w:r>
        <w:rPr>
          <w:rFonts w:ascii="Arial" w:hAnsi="Arial" w:cs="Arial"/>
          <w:szCs w:val="21"/>
          <w:shd w:val="clear" w:color="auto" w:fill="FFFFFF"/>
        </w:rPr>
        <w:t>组份为磷酸二氢钠</w:t>
      </w:r>
      <w:r>
        <w:rPr>
          <w:rFonts w:hint="eastAsia" w:ascii="Arial" w:hAnsi="Arial" w:cs="Arial"/>
          <w:szCs w:val="21"/>
          <w:shd w:val="clear" w:color="auto" w:fill="FFFFFF"/>
        </w:rPr>
        <w:t>和</w:t>
      </w:r>
      <w:r>
        <w:rPr>
          <w:rFonts w:ascii="Arial" w:hAnsi="Arial" w:cs="Arial"/>
          <w:szCs w:val="21"/>
          <w:shd w:val="clear" w:color="auto" w:fill="FFFFFF"/>
        </w:rPr>
        <w:t>磷酸氢二钠</w:t>
      </w:r>
      <w:r>
        <w:rPr>
          <w:rFonts w:hint="eastAsia" w:ascii="Arial" w:hAnsi="Arial" w:cs="Arial"/>
          <w:szCs w:val="21"/>
          <w:shd w:val="clear" w:color="auto" w:fill="FFFFFF"/>
        </w:rPr>
        <w:t>；</w:t>
      </w:r>
      <w:r>
        <w:rPr>
          <w:rFonts w:ascii="Arial" w:hAnsi="Arial" w:cs="Arial"/>
          <w:szCs w:val="21"/>
          <w:shd w:val="clear" w:color="auto" w:fill="FFFFFF"/>
        </w:rPr>
        <w:t>辅料为苯甲酸钠、乙酰磺胺酸钾</w:t>
      </w:r>
      <w:r>
        <w:rPr>
          <w:rFonts w:hint="eastAsia" w:ascii="Arial" w:hAnsi="Arial" w:cs="Arial"/>
          <w:szCs w:val="21"/>
          <w:shd w:val="clear" w:color="auto" w:fill="FFFFFF"/>
        </w:rPr>
        <w:t>和</w:t>
      </w:r>
      <w:r>
        <w:rPr>
          <w:rFonts w:ascii="Arial" w:hAnsi="Arial" w:cs="Arial"/>
          <w:szCs w:val="21"/>
          <w:shd w:val="clear" w:color="auto" w:fill="FFFFFF"/>
        </w:rPr>
        <w:t>6297青苹果香精。</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【性状】</w:t>
      </w:r>
    </w:p>
    <w:p>
      <w:pPr>
        <w:adjustRightInd w:val="0"/>
        <w:spacing w:line="400" w:lineRule="exact"/>
        <w:ind w:firstLine="420" w:firstLineChars="200"/>
        <w:contextualSpacing/>
        <w:rPr>
          <w:rFonts w:ascii="Arial" w:hAnsi="Arial" w:cs="Arial"/>
          <w:szCs w:val="21"/>
        </w:rPr>
      </w:pPr>
      <w:r>
        <w:rPr>
          <w:rFonts w:ascii="Arial" w:hAnsi="Arial" w:cs="Arial"/>
          <w:szCs w:val="21"/>
        </w:rPr>
        <w:t>本品为无色的澄明</w:t>
      </w:r>
      <w:r>
        <w:rPr>
          <w:rFonts w:hint="eastAsia" w:ascii="Arial" w:hAnsi="Arial" w:cs="Arial"/>
          <w:szCs w:val="21"/>
        </w:rPr>
        <w:t>液体；</w:t>
      </w:r>
      <w:r>
        <w:rPr>
          <w:rFonts w:ascii="Arial" w:hAnsi="Arial" w:cs="Arial"/>
          <w:szCs w:val="21"/>
        </w:rPr>
        <w:t>有青苹果</w:t>
      </w:r>
      <w:r>
        <w:rPr>
          <w:rFonts w:hint="eastAsia" w:ascii="Arial" w:hAnsi="Arial" w:cs="Arial"/>
          <w:szCs w:val="21"/>
        </w:rPr>
        <w:t>的</w:t>
      </w:r>
      <w:r>
        <w:rPr>
          <w:rFonts w:ascii="Arial" w:hAnsi="Arial" w:cs="Arial"/>
          <w:szCs w:val="21"/>
        </w:rPr>
        <w:t>气味</w:t>
      </w:r>
      <w:r>
        <w:rPr>
          <w:rFonts w:hint="eastAsia" w:ascii="Arial" w:hAnsi="Arial" w:cs="Arial"/>
          <w:szCs w:val="21"/>
        </w:rPr>
        <w:t>。</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【适应症】</w:t>
      </w:r>
    </w:p>
    <w:p>
      <w:pPr>
        <w:adjustRightInd w:val="0"/>
        <w:spacing w:line="400" w:lineRule="exact"/>
        <w:ind w:firstLine="420" w:firstLineChars="200"/>
        <w:contextualSpacing/>
        <w:rPr>
          <w:rFonts w:ascii="Arial" w:hAnsi="Arial" w:cs="Arial"/>
          <w:szCs w:val="21"/>
        </w:rPr>
      </w:pPr>
      <w:r>
        <w:rPr>
          <w:rFonts w:ascii="Arial" w:hAnsi="Arial" w:cs="Arial"/>
          <w:szCs w:val="21"/>
          <w:shd w:val="clear" w:color="auto" w:fill="FFFFFF"/>
        </w:rPr>
        <w:t>用于患者结肠X-光线及肠道内窥镜检查前或手术前清理肠道。</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【规格】</w:t>
      </w:r>
    </w:p>
    <w:p>
      <w:pPr>
        <w:adjustRightInd w:val="0"/>
        <w:spacing w:line="400" w:lineRule="exact"/>
        <w:ind w:firstLine="420" w:firstLineChars="200"/>
        <w:contextualSpacing/>
        <w:rPr>
          <w:rFonts w:ascii="Arial" w:hAnsi="Arial" w:cs="Arial" w:eastAsiaTheme="minorEastAsia"/>
          <w:szCs w:val="21"/>
        </w:rPr>
      </w:pPr>
      <w:r>
        <w:rPr>
          <w:rFonts w:ascii="Arial" w:hAnsi="Arial" w:cs="Arial"/>
          <w:szCs w:val="21"/>
        </w:rPr>
        <w:t>45ml：磷酸二氢钠（按NaH</w:t>
      </w:r>
      <w:r>
        <w:rPr>
          <w:rFonts w:ascii="Arial" w:hAnsi="Arial" w:cs="Arial"/>
          <w:szCs w:val="21"/>
          <w:vertAlign w:val="subscript"/>
        </w:rPr>
        <w:t>2</w:t>
      </w:r>
      <w:r>
        <w:rPr>
          <w:rFonts w:ascii="Arial" w:hAnsi="Arial" w:cs="Arial"/>
          <w:szCs w:val="21"/>
        </w:rPr>
        <w:t>PO</w:t>
      </w:r>
      <w:r>
        <w:rPr>
          <w:rFonts w:ascii="Arial" w:hAnsi="Arial" w:cs="Arial"/>
          <w:szCs w:val="21"/>
          <w:vertAlign w:val="subscript"/>
        </w:rPr>
        <w:t>4</w:t>
      </w:r>
      <w:r>
        <w:rPr>
          <w:rFonts w:ascii="Arial" w:hAnsi="Arial" w:cs="Arial"/>
          <w:b/>
          <w:szCs w:val="21"/>
        </w:rPr>
        <w:t>·</w:t>
      </w:r>
      <w:r>
        <w:rPr>
          <w:rFonts w:ascii="Arial" w:hAnsi="Arial" w:cs="Arial"/>
          <w:szCs w:val="21"/>
        </w:rPr>
        <w:t>H</w:t>
      </w:r>
      <w:r>
        <w:rPr>
          <w:rFonts w:ascii="Arial" w:hAnsi="Arial" w:cs="Arial"/>
          <w:szCs w:val="21"/>
          <w:vertAlign w:val="subscript"/>
        </w:rPr>
        <w:t>2</w:t>
      </w:r>
      <w:r>
        <w:rPr>
          <w:rFonts w:ascii="Arial" w:hAnsi="Arial" w:cs="Arial"/>
          <w:szCs w:val="21"/>
        </w:rPr>
        <w:t>O计）21.6g与磷酸氢二钠（按Na</w:t>
      </w:r>
      <w:r>
        <w:rPr>
          <w:rFonts w:ascii="Arial" w:hAnsi="Arial" w:cs="Arial"/>
          <w:szCs w:val="21"/>
          <w:vertAlign w:val="subscript"/>
        </w:rPr>
        <w:t>2</w:t>
      </w:r>
      <w:r>
        <w:rPr>
          <w:rFonts w:ascii="Arial" w:hAnsi="Arial" w:cs="Arial"/>
          <w:szCs w:val="21"/>
        </w:rPr>
        <w:t>HPO</w:t>
      </w:r>
      <w:r>
        <w:rPr>
          <w:rFonts w:ascii="Arial" w:hAnsi="Arial" w:cs="Arial"/>
          <w:szCs w:val="21"/>
          <w:vertAlign w:val="subscript"/>
        </w:rPr>
        <w:t>4</w:t>
      </w:r>
      <w:r>
        <w:rPr>
          <w:rFonts w:ascii="Arial" w:hAnsi="Arial" w:cs="Arial"/>
          <w:b/>
          <w:szCs w:val="21"/>
        </w:rPr>
        <w:t>·</w:t>
      </w:r>
      <w:r>
        <w:rPr>
          <w:rFonts w:ascii="Arial" w:hAnsi="Arial" w:cs="Arial"/>
          <w:szCs w:val="21"/>
        </w:rPr>
        <w:t>7H</w:t>
      </w:r>
      <w:r>
        <w:rPr>
          <w:rFonts w:ascii="Arial" w:hAnsi="Arial" w:cs="Arial"/>
          <w:szCs w:val="21"/>
          <w:vertAlign w:val="subscript"/>
        </w:rPr>
        <w:t>2</w:t>
      </w:r>
      <w:r>
        <w:rPr>
          <w:rFonts w:ascii="Arial" w:hAnsi="Arial" w:cs="Arial"/>
          <w:szCs w:val="21"/>
        </w:rPr>
        <w:t>O计）8.1g</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【用法用量】</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本品用于肠道准备时服药</w:t>
      </w:r>
      <w:r>
        <w:rPr>
          <w:rFonts w:hint="eastAsia" w:ascii="Arial" w:hAnsi="Arial" w:cs="Arial"/>
          <w:kern w:val="0"/>
          <w:szCs w:val="21"/>
        </w:rPr>
        <w:t>，</w:t>
      </w:r>
      <w:r>
        <w:rPr>
          <w:rFonts w:ascii="Arial" w:hAnsi="Arial" w:cs="Arial"/>
          <w:kern w:val="0"/>
          <w:szCs w:val="21"/>
        </w:rPr>
        <w:t>一般分两次，每次服药45ml。</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第一次服药时间在检查或手术前一天晚上7点，用法采用稀释方案，用750ml以上温凉水稀释后服用。第二次服药时间在检查或手术当天早晨7点（或在操作或检查前至少3个小时），或遵医嘱，用法同第一次。</w:t>
      </w:r>
    </w:p>
    <w:p>
      <w:pPr>
        <w:adjustRightInd w:val="0"/>
        <w:spacing w:line="400" w:lineRule="exact"/>
        <w:ind w:firstLine="420" w:firstLineChars="200"/>
        <w:contextualSpacing/>
        <w:rPr>
          <w:rFonts w:ascii="Arial" w:hAnsi="Arial" w:cs="Arial" w:eastAsiaTheme="minorEastAsia"/>
          <w:szCs w:val="21"/>
        </w:rPr>
      </w:pPr>
      <w:r>
        <w:rPr>
          <w:rFonts w:ascii="Arial" w:hAnsi="Arial" w:cs="Arial"/>
          <w:kern w:val="0"/>
          <w:szCs w:val="21"/>
          <w:shd w:val="clear" w:color="auto" w:fill="FFFFFF"/>
        </w:rPr>
        <w:t>为获得良好肠道准备效果，建议患者在可承受范围内多饮用水。</w:t>
      </w:r>
    </w:p>
    <w:p>
      <w:pPr>
        <w:adjustRightInd w:val="0"/>
        <w:snapToGrid w:val="0"/>
        <w:spacing w:line="400" w:lineRule="exact"/>
        <w:rPr>
          <w:rFonts w:ascii="Arial" w:hAnsi="Arial" w:cs="Arial" w:eastAsiaTheme="minorEastAsia"/>
          <w:b/>
          <w:szCs w:val="21"/>
        </w:rPr>
      </w:pPr>
      <w:r>
        <w:rPr>
          <w:rFonts w:ascii="Arial" w:hAnsi="Arial" w:cs="Arial" w:eastAsiaTheme="minorEastAsia"/>
          <w:b/>
          <w:szCs w:val="21"/>
        </w:rPr>
        <w:t>【不良反应】</w:t>
      </w:r>
    </w:p>
    <w:p>
      <w:pPr>
        <w:adjustRightInd w:val="0"/>
        <w:snapToGrid w:val="0"/>
        <w:spacing w:line="400" w:lineRule="exact"/>
        <w:ind w:firstLine="422" w:firstLineChars="200"/>
        <w:rPr>
          <w:rFonts w:ascii="Arial" w:hAnsi="Arial" w:cs="Arial"/>
          <w:b/>
          <w:kern w:val="0"/>
          <w:szCs w:val="21"/>
        </w:rPr>
      </w:pPr>
      <w:r>
        <w:rPr>
          <w:rFonts w:ascii="Arial" w:hAnsi="Arial" w:cs="Arial"/>
          <w:b/>
          <w:kern w:val="0"/>
          <w:szCs w:val="21"/>
        </w:rPr>
        <w:t>1、警告</w:t>
      </w:r>
    </w:p>
    <w:p>
      <w:pPr>
        <w:adjustRightInd w:val="0"/>
        <w:spacing w:line="400" w:lineRule="exact"/>
        <w:ind w:firstLine="422" w:firstLineChars="200"/>
        <w:contextualSpacing/>
        <w:rPr>
          <w:rFonts w:ascii="Arial" w:hAnsi="Arial" w:cs="Arial"/>
          <w:kern w:val="0"/>
          <w:szCs w:val="21"/>
        </w:rPr>
      </w:pPr>
      <w:r>
        <w:rPr>
          <w:rFonts w:ascii="Arial" w:hAnsi="Arial" w:cs="Arial"/>
          <w:b/>
          <w:bCs/>
          <w:kern w:val="0"/>
          <w:szCs w:val="21"/>
        </w:rPr>
        <w:t>急性磷酸盐肾病和肾功能损害：</w:t>
      </w:r>
      <w:r>
        <w:rPr>
          <w:rFonts w:ascii="Arial" w:hAnsi="Arial" w:cs="Arial"/>
          <w:kern w:val="0"/>
          <w:szCs w:val="21"/>
        </w:rPr>
        <w:t>服用本品可能引起罕见但严重的急性磷酸盐肾病和肾功能损害。据报道，患者在内镜检查前和术前使用磷酸钠盐制剂清洗肠道可能发生肾损害和急性磷酸盐肾病（即肾钙质沉着），并导致短暂或永久性肾功能损害（肾功能衰竭），部分患者需要进行透析和/或移植。上述不良反应多数发生在服用高血压药物（如血管紧张素转换酶抑制剂、血管紧张素受体抑制剂）、或利尿剂、</w:t>
      </w:r>
      <w:r>
        <w:rPr>
          <w:rFonts w:hint="eastAsia" w:ascii="Arial" w:hAnsi="Arial" w:cs="Arial"/>
          <w:kern w:val="0"/>
          <w:szCs w:val="21"/>
        </w:rPr>
        <w:t>非甾体</w:t>
      </w:r>
      <w:r>
        <w:rPr>
          <w:rFonts w:ascii="Arial" w:hAnsi="Arial" w:cs="Arial"/>
          <w:kern w:val="0"/>
          <w:szCs w:val="21"/>
        </w:rPr>
        <w:t>抗炎药的患者当中。建议肾功能损害、正在接受可能引起肾小管滤过率下降的治疗或可能导致脱水的治疗（如利尿剂、血管紧张素转换酶抑制剂、血管紧张素受体抑制剂、</w:t>
      </w:r>
      <w:r>
        <w:rPr>
          <w:rFonts w:hint="eastAsia" w:ascii="Arial" w:hAnsi="Arial" w:cs="Arial"/>
          <w:kern w:val="0"/>
          <w:szCs w:val="21"/>
        </w:rPr>
        <w:t>非甾体</w:t>
      </w:r>
      <w:r>
        <w:rPr>
          <w:rFonts w:ascii="Arial" w:hAnsi="Arial" w:cs="Arial"/>
          <w:kern w:val="0"/>
          <w:szCs w:val="21"/>
        </w:rPr>
        <w:t>抗炎药）的高风险患者应慎用本品，此类患者应在做通便准备和适当处理前需补足水分。</w:t>
      </w:r>
    </w:p>
    <w:p>
      <w:pPr>
        <w:adjustRightInd w:val="0"/>
        <w:snapToGrid w:val="0"/>
        <w:spacing w:line="400" w:lineRule="exact"/>
        <w:ind w:firstLine="422" w:firstLineChars="200"/>
        <w:rPr>
          <w:rFonts w:ascii="Arial" w:hAnsi="Arial" w:cs="Arial"/>
          <w:kern w:val="0"/>
          <w:szCs w:val="21"/>
        </w:rPr>
      </w:pPr>
      <w:r>
        <w:rPr>
          <w:rFonts w:ascii="Arial" w:hAnsi="Arial" w:cs="Arial"/>
          <w:b/>
          <w:bCs/>
          <w:kern w:val="0"/>
          <w:szCs w:val="21"/>
        </w:rPr>
        <w:t>惊厥：</w:t>
      </w:r>
      <w:r>
        <w:rPr>
          <w:rFonts w:ascii="Arial" w:hAnsi="Arial" w:cs="Arial"/>
          <w:kern w:val="0"/>
          <w:szCs w:val="21"/>
        </w:rPr>
        <w:t>据报道，先前无惊厥病史的患者使用磷酸钠盐后可能发生罕见的阵发性痉挛和意识丧失。惊厥与电解质紊乱和血浆低渗透压有关。建议本品慎用于易于发生惊厥的高风险患者，如有惊厥病史、合并使用抗抑郁药物、戒断酒精及苯二氮</w:t>
      </w:r>
      <w:r>
        <w:rPr>
          <w:rFonts w:ascii="Arial" w:hAnsi="Arial" w:cs="Arial"/>
          <w:kern w:val="36"/>
          <w:szCs w:val="21"/>
        </w:rPr>
        <w:t>䓬</w:t>
      </w:r>
      <w:r>
        <w:rPr>
          <w:rFonts w:ascii="Arial" w:hAnsi="Arial" w:cs="Arial"/>
          <w:kern w:val="0"/>
          <w:szCs w:val="21"/>
        </w:rPr>
        <w:t>类药物、低钠血症患者。</w:t>
      </w:r>
    </w:p>
    <w:p>
      <w:pPr>
        <w:adjustRightInd w:val="0"/>
        <w:spacing w:line="400" w:lineRule="exact"/>
        <w:ind w:firstLine="422" w:firstLineChars="200"/>
        <w:contextualSpacing/>
        <w:rPr>
          <w:rFonts w:ascii="Arial" w:hAnsi="Arial" w:cs="Arial"/>
          <w:kern w:val="0"/>
          <w:szCs w:val="21"/>
        </w:rPr>
      </w:pPr>
      <w:r>
        <w:rPr>
          <w:rFonts w:ascii="Arial" w:hAnsi="Arial" w:cs="Arial"/>
          <w:b/>
          <w:bCs/>
          <w:kern w:val="0"/>
          <w:szCs w:val="21"/>
        </w:rPr>
        <w:t>心律失常：</w:t>
      </w:r>
      <w:r>
        <w:rPr>
          <w:rFonts w:ascii="Arial" w:hAnsi="Arial" w:cs="Arial"/>
          <w:kern w:val="0"/>
          <w:szCs w:val="21"/>
        </w:rPr>
        <w:t>据报道，患者使用磷酸钠盐后可能发生严重和罕见的心律失常和部分QT间期延长。QT间期延长与电解质紊乱有关（如低钾和低钠血症）。建议本品慎用于易发生心律失常的高风险患者，如有心肌病和难以控制心律失常病史、QT间期延长、近期发生心梗的患者。此类患者用药时建议在用药前和检查后使用心电图全程密切监测。</w:t>
      </w:r>
    </w:p>
    <w:p>
      <w:pPr>
        <w:adjustRightInd w:val="0"/>
        <w:spacing w:line="400" w:lineRule="exact"/>
        <w:ind w:firstLine="422" w:firstLineChars="200"/>
        <w:contextualSpacing/>
        <w:rPr>
          <w:rFonts w:ascii="Arial" w:hAnsi="Arial" w:cs="Arial"/>
          <w:b/>
          <w:kern w:val="0"/>
          <w:szCs w:val="21"/>
        </w:rPr>
      </w:pPr>
      <w:r>
        <w:rPr>
          <w:rFonts w:ascii="Arial" w:hAnsi="Arial" w:cs="Arial"/>
          <w:b/>
          <w:kern w:val="0"/>
          <w:szCs w:val="21"/>
        </w:rPr>
        <w:t>2、上市前和上市后不良反应</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通过上市前临床试验观察，服用磷酸钠盐制剂或本品最常见的（≥2%）不良反应为腹胀、恶心、腹痛、呕吐，还可能会出现用药期间和用药后短暂的电解质紊乱（高/低磷酸盐血症、低钙血症、低钾血症、高钙血症和脱水）、乏力、眩晕、过敏反应、肝功能检查ALT，AST升高、肛门刺激症状。偶见流涎。</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上市后报告可发生变态反应（皮疹、紫癜、水肿和口唇感觉异常等）、急性磷酸盐肾病、肾功能衰竭、惊厥、心律失常。</w:t>
      </w:r>
    </w:p>
    <w:p>
      <w:pPr>
        <w:spacing w:line="400" w:lineRule="exact"/>
        <w:rPr>
          <w:rFonts w:ascii="Arial" w:hAnsi="Arial" w:cs="Arial" w:eastAsiaTheme="minorEastAsia"/>
          <w:b/>
          <w:szCs w:val="21"/>
        </w:rPr>
      </w:pPr>
      <w:r>
        <w:rPr>
          <w:rFonts w:ascii="Arial" w:hAnsi="Arial" w:cs="Arial" w:eastAsiaTheme="minorEastAsia"/>
          <w:b/>
          <w:szCs w:val="21"/>
        </w:rPr>
        <w:t>【禁忌】</w:t>
      </w:r>
    </w:p>
    <w:p>
      <w:pPr>
        <w:adjustRightInd w:val="0"/>
        <w:snapToGrid w:val="0"/>
        <w:spacing w:line="400" w:lineRule="exact"/>
        <w:ind w:firstLine="420" w:firstLineChars="200"/>
        <w:rPr>
          <w:rFonts w:ascii="Arial" w:hAnsi="Arial" w:cs="Arial"/>
          <w:kern w:val="0"/>
          <w:szCs w:val="21"/>
        </w:rPr>
      </w:pPr>
      <w:r>
        <w:rPr>
          <w:rFonts w:ascii="Arial" w:hAnsi="Arial" w:cs="Arial"/>
          <w:kern w:val="0"/>
          <w:szCs w:val="21"/>
        </w:rPr>
        <w:t>1、本品禁用于先天性巨结肠、肠梗阻、腹水、充血性心脏病或肾功能衰竭患者。</w:t>
      </w:r>
    </w:p>
    <w:p>
      <w:pPr>
        <w:adjustRightInd w:val="0"/>
        <w:snapToGrid w:val="0"/>
        <w:spacing w:line="400" w:lineRule="exact"/>
        <w:ind w:firstLine="420" w:firstLineChars="200"/>
        <w:rPr>
          <w:rFonts w:ascii="Arial" w:hAnsi="Arial" w:cs="Arial"/>
          <w:kern w:val="0"/>
          <w:szCs w:val="21"/>
        </w:rPr>
      </w:pPr>
      <w:r>
        <w:rPr>
          <w:rFonts w:ascii="Arial" w:hAnsi="Arial" w:cs="Arial"/>
          <w:kern w:val="0"/>
          <w:szCs w:val="21"/>
        </w:rPr>
        <w:t>2、使用本品禁止联合使用其他缓泻药物。</w:t>
      </w:r>
    </w:p>
    <w:p>
      <w:pPr>
        <w:adjustRightInd w:val="0"/>
        <w:snapToGrid w:val="0"/>
        <w:spacing w:line="400" w:lineRule="exact"/>
        <w:ind w:firstLine="420" w:firstLineChars="200"/>
        <w:rPr>
          <w:rFonts w:ascii="Arial" w:hAnsi="Arial" w:cs="Arial"/>
          <w:kern w:val="0"/>
          <w:szCs w:val="21"/>
        </w:rPr>
      </w:pPr>
      <w:r>
        <w:rPr>
          <w:rFonts w:ascii="Arial" w:hAnsi="Arial" w:cs="Arial"/>
          <w:kern w:val="0"/>
          <w:szCs w:val="21"/>
        </w:rPr>
        <w:t>3、对本品中任何成份过敏者禁用。</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【注意事项】</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1、严格控制本品使用剂量。在24小时内使用超过推荐的剂量可能会对身体造成损害。</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2、本品若重复给药，应检查血浆电解质。在患者第二次摄入药物前应充分饮水。</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3、为安全起见，本品瓶嘴被密封。本品应放在儿童不易拿到的地方。</w:t>
      </w:r>
    </w:p>
    <w:p>
      <w:pPr>
        <w:adjustRightInd w:val="0"/>
        <w:snapToGrid w:val="0"/>
        <w:spacing w:line="400" w:lineRule="exact"/>
        <w:ind w:firstLine="420" w:firstLineChars="200"/>
        <w:rPr>
          <w:rFonts w:ascii="Arial" w:hAnsi="Arial" w:cs="Arial"/>
          <w:kern w:val="0"/>
          <w:szCs w:val="21"/>
        </w:rPr>
      </w:pPr>
      <w:r>
        <w:rPr>
          <w:rFonts w:ascii="Arial" w:hAnsi="Arial" w:cs="Arial"/>
          <w:bCs/>
          <w:kern w:val="0"/>
          <w:szCs w:val="21"/>
        </w:rPr>
        <w:t>4、以下情况在使用本品时应咨询医师：</w:t>
      </w:r>
    </w:p>
    <w:p>
      <w:pPr>
        <w:adjustRightInd w:val="0"/>
        <w:snapToGrid w:val="0"/>
        <w:spacing w:line="400" w:lineRule="exact"/>
        <w:ind w:firstLine="420" w:firstLineChars="200"/>
        <w:rPr>
          <w:rFonts w:ascii="Arial" w:hAnsi="Arial" w:cs="Arial"/>
          <w:kern w:val="0"/>
          <w:szCs w:val="21"/>
        </w:rPr>
      </w:pPr>
      <w:r>
        <w:rPr>
          <w:rFonts w:ascii="Arial" w:hAnsi="Arial" w:cs="Arial"/>
          <w:szCs w:val="21"/>
        </w:rPr>
        <w:t xml:space="preserve">● </w:t>
      </w:r>
      <w:r>
        <w:rPr>
          <w:rFonts w:ascii="Arial" w:hAnsi="Arial" w:cs="Arial"/>
          <w:kern w:val="0"/>
          <w:szCs w:val="21"/>
        </w:rPr>
        <w:t>限制钠盐饮食</w:t>
      </w:r>
    </w:p>
    <w:p>
      <w:pPr>
        <w:adjustRightInd w:val="0"/>
        <w:snapToGrid w:val="0"/>
        <w:spacing w:line="400" w:lineRule="exact"/>
        <w:ind w:firstLine="420" w:firstLineChars="200"/>
        <w:rPr>
          <w:rFonts w:ascii="Arial" w:hAnsi="Arial" w:cs="Arial"/>
          <w:kern w:val="0"/>
          <w:szCs w:val="21"/>
        </w:rPr>
      </w:pPr>
      <w:r>
        <w:rPr>
          <w:rFonts w:ascii="Arial" w:hAnsi="Arial" w:cs="Arial"/>
          <w:szCs w:val="21"/>
        </w:rPr>
        <w:t xml:space="preserve">● </w:t>
      </w:r>
      <w:r>
        <w:rPr>
          <w:rFonts w:ascii="Arial" w:hAnsi="Arial" w:cs="Arial"/>
          <w:kern w:val="0"/>
          <w:szCs w:val="21"/>
        </w:rPr>
        <w:t>患有肾脏疾病</w:t>
      </w:r>
    </w:p>
    <w:p>
      <w:pPr>
        <w:adjustRightInd w:val="0"/>
        <w:snapToGrid w:val="0"/>
        <w:spacing w:line="400" w:lineRule="exact"/>
        <w:ind w:firstLine="420" w:firstLineChars="200"/>
        <w:rPr>
          <w:rFonts w:ascii="Arial" w:hAnsi="Arial" w:cs="Arial"/>
          <w:kern w:val="0"/>
          <w:szCs w:val="21"/>
        </w:rPr>
      </w:pPr>
      <w:r>
        <w:rPr>
          <w:rFonts w:ascii="Arial" w:hAnsi="Arial" w:cs="Arial"/>
          <w:szCs w:val="21"/>
        </w:rPr>
        <w:t xml:space="preserve">● </w:t>
      </w:r>
      <w:r>
        <w:rPr>
          <w:rFonts w:ascii="Arial" w:hAnsi="Arial" w:cs="Arial"/>
          <w:kern w:val="0"/>
          <w:szCs w:val="21"/>
        </w:rPr>
        <w:t>已经怀孕或正在哺乳期</w:t>
      </w:r>
    </w:p>
    <w:p>
      <w:pPr>
        <w:adjustRightInd w:val="0"/>
        <w:spacing w:line="400" w:lineRule="exact"/>
        <w:ind w:firstLine="420" w:firstLineChars="200"/>
        <w:contextualSpacing/>
        <w:rPr>
          <w:rFonts w:ascii="Arial" w:hAnsi="Arial" w:cs="Arial"/>
          <w:bCs/>
          <w:kern w:val="0"/>
          <w:szCs w:val="21"/>
        </w:rPr>
      </w:pPr>
      <w:r>
        <w:rPr>
          <w:rFonts w:ascii="Arial" w:hAnsi="Arial" w:cs="Arial"/>
          <w:bCs/>
          <w:kern w:val="0"/>
          <w:szCs w:val="21"/>
        </w:rPr>
        <w:t>5、下列情况应停用本品并咨询医师：</w:t>
      </w:r>
    </w:p>
    <w:p>
      <w:pPr>
        <w:adjustRightInd w:val="0"/>
        <w:spacing w:line="400" w:lineRule="exact"/>
        <w:ind w:firstLine="420" w:firstLineChars="200"/>
        <w:contextualSpacing/>
        <w:rPr>
          <w:rFonts w:ascii="Arial" w:hAnsi="Arial" w:cs="Arial"/>
          <w:kern w:val="0"/>
          <w:szCs w:val="21"/>
        </w:rPr>
      </w:pPr>
      <w:r>
        <w:rPr>
          <w:rFonts w:ascii="Arial" w:hAnsi="Arial" w:cs="Arial"/>
          <w:szCs w:val="21"/>
        </w:rPr>
        <w:t xml:space="preserve">● </w:t>
      </w:r>
      <w:r>
        <w:rPr>
          <w:rFonts w:ascii="Arial" w:hAnsi="Arial" w:cs="Arial"/>
          <w:kern w:val="0"/>
          <w:szCs w:val="21"/>
        </w:rPr>
        <w:t>直肠出血</w:t>
      </w:r>
    </w:p>
    <w:p>
      <w:pPr>
        <w:adjustRightInd w:val="0"/>
        <w:spacing w:line="400" w:lineRule="exact"/>
        <w:ind w:firstLine="420" w:firstLineChars="200"/>
        <w:contextualSpacing/>
        <w:rPr>
          <w:rFonts w:ascii="Arial" w:hAnsi="Arial" w:cs="Arial"/>
          <w:kern w:val="0"/>
          <w:szCs w:val="21"/>
        </w:rPr>
      </w:pPr>
      <w:r>
        <w:rPr>
          <w:rFonts w:ascii="Arial" w:hAnsi="Arial" w:cs="Arial"/>
          <w:szCs w:val="21"/>
        </w:rPr>
        <w:t xml:space="preserve">● </w:t>
      </w:r>
      <w:r>
        <w:rPr>
          <w:rFonts w:ascii="Arial" w:hAnsi="Arial" w:cs="Arial"/>
          <w:kern w:val="0"/>
          <w:szCs w:val="21"/>
        </w:rPr>
        <w:t>使用本品后没有大便</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6、急性结肠炎（包括IBD）或者肠排空延迟患者、肾病患者、电解质失衡或紊乱患者（脱水患者、低钠饮食，透析，肾功能不全患者，心脏疾病，结肠造口术等患者）、使用利尿剂以及正在服用其他影响电解质水平药物的患者应慎用本品。</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【孕妇及哺乳期妇女用药】</w:t>
      </w:r>
    </w:p>
    <w:p>
      <w:pPr>
        <w:adjustRightInd w:val="0"/>
        <w:spacing w:line="400" w:lineRule="exact"/>
        <w:ind w:firstLine="420" w:firstLineChars="200"/>
        <w:contextualSpacing/>
        <w:rPr>
          <w:rFonts w:ascii="Arial" w:hAnsi="Arial" w:cs="Arial"/>
          <w:szCs w:val="21"/>
        </w:rPr>
      </w:pPr>
      <w:r>
        <w:rPr>
          <w:rFonts w:ascii="Arial" w:hAnsi="Arial" w:cs="Arial"/>
          <w:szCs w:val="21"/>
        </w:rPr>
        <w:t>孕妇及哺乳期妇女在用药前应咨询医师。</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【儿童用药】</w:t>
      </w:r>
    </w:p>
    <w:p>
      <w:pPr>
        <w:adjustRightInd w:val="0"/>
        <w:spacing w:line="400" w:lineRule="exact"/>
        <w:ind w:firstLine="420" w:firstLineChars="200"/>
        <w:contextualSpacing/>
        <w:rPr>
          <w:rFonts w:ascii="Arial" w:hAnsi="Arial" w:cs="Arial"/>
          <w:szCs w:val="21"/>
        </w:rPr>
      </w:pPr>
      <w:r>
        <w:rPr>
          <w:rFonts w:ascii="Arial" w:hAnsi="Arial" w:cs="Arial"/>
          <w:szCs w:val="21"/>
        </w:rPr>
        <w:t>不推荐18岁以下青少年和儿童使用本品或其它含磷酸钠盐的口服肠道清洗剂。</w:t>
      </w:r>
    </w:p>
    <w:p>
      <w:pPr>
        <w:widowControl/>
        <w:adjustRightInd w:val="0"/>
        <w:spacing w:line="400" w:lineRule="exact"/>
        <w:contextualSpacing/>
        <w:rPr>
          <w:rFonts w:ascii="Arial" w:hAnsi="Arial" w:cs="Arial" w:eastAsiaTheme="minorEastAsia"/>
          <w:b/>
          <w:szCs w:val="21"/>
        </w:rPr>
      </w:pPr>
      <w:r>
        <w:rPr>
          <w:rFonts w:ascii="Arial" w:hAnsi="Arial" w:cs="Arial" w:eastAsiaTheme="minorEastAsia"/>
          <w:b/>
          <w:szCs w:val="21"/>
        </w:rPr>
        <w:t>【老年用药】</w:t>
      </w:r>
    </w:p>
    <w:p>
      <w:pPr>
        <w:adjustRightInd w:val="0"/>
        <w:spacing w:line="400" w:lineRule="exact"/>
        <w:ind w:firstLine="420" w:firstLineChars="200"/>
        <w:contextualSpacing/>
        <w:rPr>
          <w:rFonts w:ascii="Arial" w:hAnsi="Arial" w:cs="Arial"/>
          <w:szCs w:val="21"/>
        </w:rPr>
      </w:pPr>
      <w:r>
        <w:rPr>
          <w:rFonts w:ascii="Arial" w:hAnsi="Arial" w:cs="Arial"/>
          <w:szCs w:val="21"/>
        </w:rPr>
        <w:t>55岁以上人群应谨慎使用本品。</w:t>
      </w:r>
    </w:p>
    <w:p>
      <w:pPr>
        <w:widowControl/>
        <w:adjustRightInd w:val="0"/>
        <w:spacing w:line="400" w:lineRule="exact"/>
        <w:contextualSpacing/>
        <w:jc w:val="left"/>
        <w:rPr>
          <w:rFonts w:ascii="Arial" w:hAnsi="Arial" w:cs="Arial" w:eastAsiaTheme="minorEastAsia"/>
          <w:b/>
          <w:szCs w:val="21"/>
        </w:rPr>
      </w:pPr>
      <w:r>
        <w:rPr>
          <w:rFonts w:ascii="Arial" w:hAnsi="Arial" w:cs="Arial" w:eastAsiaTheme="minorEastAsia"/>
          <w:b/>
          <w:szCs w:val="21"/>
        </w:rPr>
        <w:t>【药物相互作用】</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1、使用本品禁止联合使用其他缓泻药物。</w:t>
      </w:r>
    </w:p>
    <w:p>
      <w:pPr>
        <w:adjustRightInd w:val="0"/>
        <w:spacing w:line="400" w:lineRule="exact"/>
        <w:ind w:firstLine="420" w:firstLineChars="200"/>
        <w:contextualSpacing/>
        <w:rPr>
          <w:rFonts w:ascii="Arial" w:hAnsi="Arial" w:cs="Arial"/>
          <w:kern w:val="0"/>
          <w:szCs w:val="21"/>
        </w:rPr>
      </w:pPr>
      <w:r>
        <w:rPr>
          <w:rFonts w:ascii="Arial" w:hAnsi="Arial" w:cs="Arial"/>
          <w:kern w:val="0"/>
          <w:szCs w:val="21"/>
        </w:rPr>
        <w:t>2、服用钙通道阻滞剂、非甾体类抗炎药、利尿药以及正在服用其他可能影响电解质水平药物的患者应慎用本品。</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【药物过量】</w:t>
      </w:r>
    </w:p>
    <w:p>
      <w:pPr>
        <w:widowControl/>
        <w:adjustRightInd w:val="0"/>
        <w:spacing w:line="400" w:lineRule="exact"/>
        <w:ind w:firstLine="420" w:firstLineChars="200"/>
        <w:contextualSpacing/>
        <w:rPr>
          <w:rFonts w:ascii="Arial" w:hAnsi="Arial" w:cs="Arial" w:eastAsiaTheme="minorEastAsia"/>
          <w:szCs w:val="21"/>
        </w:rPr>
      </w:pPr>
      <w:r>
        <w:rPr>
          <w:rFonts w:ascii="Arial" w:hAnsi="Arial" w:cs="Arial"/>
          <w:szCs w:val="21"/>
        </w:rPr>
        <w:t>如果发生服用本品过量或误用，应及时就医。</w:t>
      </w:r>
    </w:p>
    <w:p>
      <w:pPr>
        <w:widowControl/>
        <w:adjustRightInd w:val="0"/>
        <w:spacing w:line="400" w:lineRule="exact"/>
        <w:ind w:firstLine="420" w:firstLineChars="200"/>
        <w:contextualSpacing/>
        <w:rPr>
          <w:rFonts w:ascii="Arial" w:hAnsi="Arial" w:cs="Arial"/>
          <w:szCs w:val="21"/>
        </w:rPr>
      </w:pPr>
      <w:r>
        <w:rPr>
          <w:rFonts w:ascii="Arial" w:hAnsi="Arial" w:cs="Arial"/>
          <w:szCs w:val="21"/>
        </w:rPr>
        <w:t>本品过量可导致低钙血症、高磷血症、高钠血症及脱水。</w:t>
      </w:r>
    </w:p>
    <w:p>
      <w:pPr>
        <w:adjustRightInd w:val="0"/>
        <w:spacing w:line="400" w:lineRule="exact"/>
        <w:ind w:firstLine="420" w:firstLineChars="200"/>
        <w:contextualSpacing/>
        <w:rPr>
          <w:rFonts w:ascii="Arial" w:hAnsi="Arial" w:cs="Arial"/>
          <w:szCs w:val="21"/>
        </w:rPr>
      </w:pPr>
      <w:r>
        <w:rPr>
          <w:rFonts w:ascii="Arial" w:hAnsi="Arial" w:cs="Arial"/>
          <w:szCs w:val="21"/>
        </w:rPr>
        <w:t>1、低钙血症、高磷血症、高钠血症：应仔细监测血中钙、磷酸盐、氯化物及钠离子水平；及时用适当的液体纠正电解质失衡。</w:t>
      </w:r>
    </w:p>
    <w:p>
      <w:pPr>
        <w:adjustRightInd w:val="0"/>
        <w:spacing w:line="400" w:lineRule="exact"/>
        <w:ind w:firstLine="420" w:firstLineChars="200"/>
        <w:contextualSpacing/>
        <w:rPr>
          <w:rFonts w:ascii="Arial" w:hAnsi="Arial" w:cs="Arial"/>
          <w:szCs w:val="21"/>
        </w:rPr>
      </w:pPr>
      <w:r>
        <w:rPr>
          <w:rFonts w:ascii="Arial" w:hAnsi="Arial" w:cs="Arial"/>
          <w:szCs w:val="21"/>
        </w:rPr>
        <w:t>2、脱水：按脱水的严重程度及临床症状及时肠道外给予含有低浓度的钠、氯化物（40-50mEq/L）以及中浓度钾（20-30mEq/L）的溶液。</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【药理毒理】</w:t>
      </w:r>
    </w:p>
    <w:p>
      <w:pPr>
        <w:adjustRightInd w:val="0"/>
        <w:spacing w:line="400" w:lineRule="exact"/>
        <w:ind w:firstLine="420" w:firstLineChars="200"/>
        <w:contextualSpacing/>
        <w:rPr>
          <w:rFonts w:ascii="Arial" w:hAnsi="Arial" w:cs="Arial"/>
          <w:szCs w:val="21"/>
          <w:shd w:val="clear" w:color="auto" w:fill="FFFFFF"/>
        </w:rPr>
      </w:pPr>
      <w:r>
        <w:rPr>
          <w:rFonts w:ascii="Arial" w:hAnsi="Arial" w:cs="Arial"/>
          <w:szCs w:val="21"/>
        </w:rPr>
        <w:t>暂无相关资料。</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【药代动力学】</w:t>
      </w:r>
    </w:p>
    <w:p>
      <w:pPr>
        <w:adjustRightInd w:val="0"/>
        <w:spacing w:line="400" w:lineRule="exact"/>
        <w:ind w:firstLine="420" w:firstLineChars="200"/>
        <w:contextualSpacing/>
        <w:rPr>
          <w:rFonts w:ascii="Arial" w:hAnsi="Arial" w:cs="Arial"/>
          <w:kern w:val="0"/>
          <w:szCs w:val="21"/>
        </w:rPr>
      </w:pPr>
      <w:r>
        <w:rPr>
          <w:rFonts w:ascii="Arial" w:hAnsi="Arial" w:cs="Arial"/>
          <w:szCs w:val="21"/>
        </w:rPr>
        <w:t>暂无相关资料。</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【贮藏】</w:t>
      </w:r>
      <w:r>
        <w:rPr>
          <w:rFonts w:ascii="Arial" w:hAnsi="Arial" w:cs="Arial" w:eastAsiaTheme="minorEastAsia"/>
          <w:szCs w:val="21"/>
        </w:rPr>
        <w:t>不超过25</w:t>
      </w:r>
      <w:r>
        <w:rPr>
          <w:rFonts w:hint="eastAsia" w:ascii="宋体" w:hAnsi="宋体" w:cs="宋体"/>
          <w:szCs w:val="21"/>
        </w:rPr>
        <w:t>℃</w:t>
      </w:r>
      <w:r>
        <w:rPr>
          <w:rFonts w:ascii="Arial" w:hAnsi="Arial" w:cs="Arial" w:eastAsiaTheme="minorEastAsia"/>
          <w:szCs w:val="21"/>
        </w:rPr>
        <w:t>保存。</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【包装】</w:t>
      </w:r>
      <w:r>
        <w:rPr>
          <w:rFonts w:ascii="Arial" w:hAnsi="Arial" w:cs="Arial"/>
          <w:szCs w:val="21"/>
        </w:rPr>
        <w:t>口服液体药用高密度聚乙烯瓶包装，1瓶/盒。</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【有效期】</w:t>
      </w:r>
      <w:r>
        <w:rPr>
          <w:rFonts w:ascii="Arial" w:hAnsi="Arial" w:cs="Arial" w:eastAsiaTheme="minorEastAsia"/>
          <w:szCs w:val="21"/>
        </w:rPr>
        <w:t>18个月</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【执行标准】</w:t>
      </w:r>
      <w:r>
        <w:rPr>
          <w:rFonts w:hint="eastAsia" w:ascii="Arial" w:hAnsi="Arial" w:cs="Arial"/>
          <w:szCs w:val="21"/>
        </w:rPr>
        <w:t>YBH</w:t>
      </w:r>
      <w:r>
        <w:rPr>
          <w:rFonts w:ascii="Arial" w:hAnsi="Arial" w:cs="Arial"/>
          <w:szCs w:val="21"/>
        </w:rPr>
        <w:t>01872019</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【批准文号】</w:t>
      </w:r>
      <w:r>
        <w:rPr>
          <w:rFonts w:hint="eastAsia" w:ascii="Arial" w:hAnsi="Arial" w:cs="Arial"/>
          <w:szCs w:val="21"/>
        </w:rPr>
        <w:t>国药准字H</w:t>
      </w:r>
      <w:r>
        <w:rPr>
          <w:rFonts w:ascii="Arial" w:hAnsi="Arial" w:cs="Arial"/>
          <w:szCs w:val="21"/>
        </w:rPr>
        <w:t>20193245</w:t>
      </w:r>
    </w:p>
    <w:p>
      <w:pPr>
        <w:adjustRightInd w:val="0"/>
        <w:spacing w:line="400" w:lineRule="exact"/>
        <w:contextualSpacing/>
        <w:rPr>
          <w:rFonts w:ascii="Arial" w:hAnsi="Arial" w:cs="Arial" w:eastAsiaTheme="minorEastAsia"/>
          <w:b/>
          <w:szCs w:val="21"/>
        </w:rPr>
      </w:pPr>
      <w:r>
        <w:rPr>
          <w:rFonts w:ascii="Arial" w:hAnsi="Arial" w:cs="Arial" w:eastAsiaTheme="minorEastAsia"/>
          <w:b/>
          <w:szCs w:val="21"/>
        </w:rPr>
        <w:t>【生产</w:t>
      </w:r>
      <w:r>
        <w:rPr>
          <w:rFonts w:hint="eastAsia" w:ascii="Arial" w:hAnsi="Arial" w:cs="Arial" w:eastAsiaTheme="minorEastAsia"/>
          <w:b/>
          <w:szCs w:val="21"/>
        </w:rPr>
        <w:t>企业</w:t>
      </w:r>
      <w:r>
        <w:rPr>
          <w:rFonts w:ascii="Arial" w:hAnsi="Arial" w:cs="Arial" w:eastAsiaTheme="minorEastAsia"/>
          <w:b/>
          <w:szCs w:val="21"/>
        </w:rPr>
        <w:t>】</w:t>
      </w:r>
    </w:p>
    <w:p>
      <w:pPr>
        <w:adjustRightInd w:val="0"/>
        <w:spacing w:line="400" w:lineRule="exact"/>
        <w:ind w:firstLine="420" w:firstLineChars="200"/>
        <w:contextualSpacing/>
        <w:rPr>
          <w:rFonts w:ascii="Arial" w:hAnsi="Arial" w:cs="Arial" w:eastAsiaTheme="minorEastAsia"/>
          <w:szCs w:val="21"/>
        </w:rPr>
      </w:pPr>
      <w:r>
        <w:rPr>
          <w:rFonts w:ascii="Arial" w:hAnsi="Arial" w:cs="Arial" w:eastAsiaTheme="minorEastAsia"/>
          <w:szCs w:val="21"/>
        </w:rPr>
        <w:t>企业名称：南京正科医药股份有限公司</w:t>
      </w:r>
    </w:p>
    <w:p>
      <w:pPr>
        <w:adjustRightInd w:val="0"/>
        <w:spacing w:line="400" w:lineRule="exact"/>
        <w:ind w:firstLine="420" w:firstLineChars="200"/>
        <w:contextualSpacing/>
        <w:rPr>
          <w:rFonts w:ascii="Arial" w:hAnsi="Arial" w:cs="Arial" w:eastAsiaTheme="minorEastAsia"/>
          <w:szCs w:val="21"/>
        </w:rPr>
      </w:pPr>
      <w:r>
        <w:rPr>
          <w:rFonts w:ascii="Arial" w:hAnsi="Arial" w:cs="Arial" w:eastAsiaTheme="minorEastAsia"/>
          <w:szCs w:val="21"/>
        </w:rPr>
        <w:t>生产地址：南京经济技术开发区惠美路3号</w:t>
      </w:r>
    </w:p>
    <w:p>
      <w:pPr>
        <w:adjustRightInd w:val="0"/>
        <w:spacing w:line="400" w:lineRule="exact"/>
        <w:ind w:firstLine="420" w:firstLineChars="200"/>
        <w:contextualSpacing/>
        <w:rPr>
          <w:rFonts w:ascii="Arial" w:hAnsi="Arial" w:cs="Arial" w:eastAsiaTheme="minorEastAsia"/>
          <w:szCs w:val="21"/>
        </w:rPr>
      </w:pPr>
      <w:r>
        <w:rPr>
          <w:rFonts w:ascii="Arial" w:hAnsi="Arial" w:cs="Arial" w:eastAsiaTheme="minorEastAsia"/>
          <w:szCs w:val="21"/>
        </w:rPr>
        <w:t>邮政编码：210038</w:t>
      </w:r>
    </w:p>
    <w:p>
      <w:pPr>
        <w:adjustRightInd w:val="0"/>
        <w:spacing w:line="400" w:lineRule="exact"/>
        <w:ind w:firstLine="420" w:firstLineChars="200"/>
        <w:contextualSpacing/>
        <w:rPr>
          <w:rFonts w:ascii="Arial" w:hAnsi="Arial" w:cs="Arial" w:eastAsiaTheme="minorEastAsia"/>
          <w:szCs w:val="21"/>
        </w:rPr>
      </w:pPr>
      <w:r>
        <w:rPr>
          <w:rFonts w:ascii="Arial" w:hAnsi="Arial" w:cs="Arial" w:eastAsiaTheme="minorEastAsia"/>
          <w:szCs w:val="21"/>
        </w:rPr>
        <w:t>电话号码：025-85666130</w:t>
      </w:r>
    </w:p>
    <w:p>
      <w:pPr>
        <w:adjustRightInd w:val="0"/>
        <w:spacing w:line="400" w:lineRule="exact"/>
        <w:ind w:firstLine="420" w:firstLineChars="200"/>
        <w:contextualSpacing/>
        <w:rPr>
          <w:rFonts w:ascii="Arial" w:hAnsi="Arial" w:cs="Arial" w:eastAsiaTheme="minorEastAsia"/>
          <w:szCs w:val="21"/>
        </w:rPr>
      </w:pPr>
      <w:r>
        <w:rPr>
          <w:rFonts w:ascii="Arial" w:hAnsi="Arial" w:cs="Arial" w:eastAsiaTheme="minorEastAsia"/>
          <w:szCs w:val="21"/>
        </w:rPr>
        <w:t>咨询热线：025-85666130</w:t>
      </w:r>
    </w:p>
    <w:p>
      <w:pPr>
        <w:adjustRightInd w:val="0"/>
        <w:spacing w:line="400" w:lineRule="exact"/>
        <w:ind w:firstLine="420" w:firstLineChars="200"/>
        <w:contextualSpacing/>
        <w:rPr>
          <w:rFonts w:ascii="Arial" w:hAnsi="Arial" w:cs="Arial" w:eastAsiaTheme="minorEastAsia"/>
          <w:szCs w:val="21"/>
        </w:rPr>
      </w:pPr>
      <w:r>
        <w:rPr>
          <w:rFonts w:ascii="Arial" w:hAnsi="Arial" w:cs="Arial" w:eastAsiaTheme="minorEastAsia"/>
          <w:szCs w:val="21"/>
        </w:rPr>
        <w:t>传真号码：025-85666123</w:t>
      </w:r>
    </w:p>
    <w:p>
      <w:pPr>
        <w:adjustRightInd w:val="0"/>
        <w:spacing w:line="400" w:lineRule="exact"/>
        <w:ind w:firstLine="420" w:firstLineChars="200"/>
        <w:contextualSpacing/>
        <w:rPr>
          <w:rStyle w:val="29"/>
          <w:rFonts w:ascii="Arial" w:hAnsi="Arial" w:cs="Arial" w:eastAsiaTheme="minorEastAsia"/>
          <w:color w:val="auto"/>
          <w:szCs w:val="21"/>
        </w:rPr>
      </w:pPr>
      <w:r>
        <w:rPr>
          <w:rFonts w:ascii="Arial" w:hAnsi="Arial" w:cs="Arial" w:eastAsiaTheme="minorEastAsia"/>
          <w:szCs w:val="21"/>
        </w:rPr>
        <w:t>网</w:t>
      </w:r>
      <w:r>
        <w:rPr>
          <w:rFonts w:hint="eastAsia" w:ascii="Arial" w:hAnsi="Arial" w:cs="Arial" w:eastAsiaTheme="minorEastAsia"/>
          <w:szCs w:val="21"/>
        </w:rPr>
        <w:t xml:space="preserve"> </w:t>
      </w:r>
      <w:r>
        <w:rPr>
          <w:rFonts w:ascii="Arial" w:hAnsi="Arial" w:cs="Arial" w:eastAsiaTheme="minorEastAsia"/>
          <w:szCs w:val="21"/>
        </w:rPr>
        <w:t xml:space="preserve">   址：</w:t>
      </w:r>
      <w:r>
        <w:fldChar w:fldCharType="begin"/>
      </w:r>
      <w:r>
        <w:instrText xml:space="preserve"> HYPERLINK "http://www.zenkom.cn" </w:instrText>
      </w:r>
      <w:r>
        <w:fldChar w:fldCharType="separate"/>
      </w:r>
      <w:r>
        <w:rPr>
          <w:rStyle w:val="29"/>
          <w:rFonts w:ascii="Arial" w:hAnsi="Arial" w:cs="Arial" w:eastAsiaTheme="minorEastAsia"/>
          <w:color w:val="auto"/>
          <w:szCs w:val="21"/>
        </w:rPr>
        <w:t>http://www.zenkom.cn</w:t>
      </w:r>
      <w:r>
        <w:rPr>
          <w:rStyle w:val="29"/>
          <w:rFonts w:ascii="Arial" w:hAnsi="Arial" w:cs="Arial" w:eastAsiaTheme="minorEastAsia"/>
          <w:color w:val="auto"/>
          <w:szCs w:val="21"/>
        </w:rPr>
        <w:fldChar w:fldCharType="end"/>
      </w:r>
    </w:p>
    <w:p>
      <w:pPr>
        <w:spacing w:line="400" w:lineRule="exact"/>
        <w:rPr>
          <w:rFonts w:ascii="Arial" w:hAnsi="Arial" w:cs="Arial"/>
          <w:b/>
          <w:szCs w:val="21"/>
          <w:lang w:val="de-DE"/>
        </w:rPr>
      </w:pPr>
      <w:r>
        <w:rPr>
          <w:rFonts w:ascii="Arial" w:cs="Arial"/>
          <w:b/>
          <w:szCs w:val="21"/>
          <w:lang w:val="de-DE"/>
        </w:rPr>
        <w:t>【</w:t>
      </w:r>
      <w:r>
        <w:rPr>
          <w:rFonts w:hint="eastAsia" w:ascii="Arial" w:cs="Arial"/>
          <w:b/>
          <w:szCs w:val="21"/>
          <w:lang w:val="de-DE"/>
        </w:rPr>
        <w:t>上市许可</w:t>
      </w:r>
      <w:r>
        <w:rPr>
          <w:rFonts w:ascii="Arial" w:cs="Arial"/>
          <w:b/>
          <w:szCs w:val="21"/>
          <w:lang w:val="de-DE"/>
        </w:rPr>
        <w:t>持有人】</w:t>
      </w:r>
    </w:p>
    <w:p>
      <w:pPr>
        <w:spacing w:line="400" w:lineRule="exact"/>
        <w:rPr>
          <w:rFonts w:ascii="Arial" w:hAnsi="Arial" w:cs="Arial"/>
          <w:szCs w:val="21"/>
          <w:lang w:val="de-DE"/>
        </w:rPr>
      </w:pPr>
      <w:r>
        <w:rPr>
          <w:rFonts w:ascii="Arial" w:cs="Arial"/>
          <w:szCs w:val="21"/>
          <w:lang w:val="de-DE"/>
        </w:rPr>
        <w:t>企业名称：南京正科</w:t>
      </w:r>
      <w:r>
        <w:rPr>
          <w:rFonts w:hint="eastAsia" w:ascii="Arial" w:cs="Arial"/>
          <w:szCs w:val="21"/>
          <w:lang w:val="de-DE"/>
        </w:rPr>
        <w:t>医药股份</w:t>
      </w:r>
      <w:r>
        <w:rPr>
          <w:rFonts w:ascii="Arial" w:cs="Arial"/>
          <w:szCs w:val="21"/>
          <w:lang w:val="de-DE"/>
        </w:rPr>
        <w:t>有限公司</w:t>
      </w:r>
    </w:p>
    <w:p>
      <w:pPr>
        <w:spacing w:line="400" w:lineRule="exact"/>
        <w:rPr>
          <w:rFonts w:ascii="Arial" w:hAnsi="Arial" w:cs="Arial"/>
          <w:szCs w:val="21"/>
          <w:lang w:val="de-DE"/>
        </w:rPr>
      </w:pPr>
      <w:r>
        <w:rPr>
          <w:rFonts w:hint="eastAsia" w:ascii="Arial" w:cs="Arial"/>
          <w:szCs w:val="21"/>
          <w:lang w:val="de-DE"/>
        </w:rPr>
        <w:t>注册</w:t>
      </w:r>
      <w:r>
        <w:rPr>
          <w:rFonts w:ascii="Arial" w:cs="Arial"/>
          <w:szCs w:val="21"/>
          <w:lang w:val="de-DE"/>
        </w:rPr>
        <w:t>地址：南京经济</w:t>
      </w:r>
      <w:r>
        <w:rPr>
          <w:rFonts w:hint="eastAsia" w:ascii="Arial" w:cs="Arial"/>
          <w:szCs w:val="21"/>
          <w:lang w:val="de-DE"/>
        </w:rPr>
        <w:t>技术</w:t>
      </w:r>
      <w:r>
        <w:rPr>
          <w:rFonts w:ascii="Arial" w:cs="Arial"/>
          <w:szCs w:val="21"/>
          <w:lang w:val="de-DE"/>
        </w:rPr>
        <w:t>开发区惠美路</w:t>
      </w:r>
      <w:r>
        <w:rPr>
          <w:rFonts w:ascii="Arial" w:hAnsi="Arial" w:cs="Arial"/>
          <w:szCs w:val="21"/>
          <w:lang w:val="de-DE"/>
        </w:rPr>
        <w:t>3</w:t>
      </w:r>
      <w:r>
        <w:rPr>
          <w:rFonts w:ascii="Arial" w:cs="Arial"/>
          <w:szCs w:val="21"/>
          <w:lang w:val="de-DE"/>
        </w:rPr>
        <w:t>号</w:t>
      </w:r>
    </w:p>
    <w:p>
      <w:pPr>
        <w:adjustRightInd w:val="0"/>
        <w:spacing w:line="400" w:lineRule="exact"/>
        <w:ind w:firstLine="7980" w:firstLineChars="3800"/>
        <w:contextualSpacing/>
        <w:jc w:val="both"/>
        <w:rPr>
          <w:rFonts w:ascii="Arial" w:hAnsi="Arial" w:cs="Arial" w:eastAsiaTheme="minorEastAsia"/>
          <w:szCs w:val="21"/>
        </w:rPr>
      </w:pPr>
      <w:bookmarkStart w:id="1" w:name="_GoBack"/>
      <w:bookmarkEnd w:id="1"/>
      <w:r>
        <w:rPr>
          <w:rFonts w:hint="eastAsia" w:ascii="Arial" w:hAnsi="Arial" w:cs="Arial" w:eastAsiaTheme="minorEastAsia"/>
          <w:szCs w:val="21"/>
        </w:rPr>
        <w:t>a</w:t>
      </w:r>
      <w:r>
        <w:rPr>
          <w:rFonts w:ascii="Arial" w:hAnsi="Arial" w:cs="Arial" w:eastAsiaTheme="minorEastAsia"/>
          <w:szCs w:val="21"/>
        </w:rPr>
        <w:t>.19.10</w:t>
      </w:r>
    </w:p>
    <w:sectPr>
      <w:headerReference r:id="rId3" w:type="default"/>
      <w:footerReference r:id="rId4" w:type="default"/>
      <w:pgSz w:w="11906" w:h="16838"/>
      <w:pgMar w:top="1020" w:right="1418" w:bottom="1020" w:left="1418" w:header="851" w:footer="850"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1860"/>
        <w:tab w:val="clear" w:pos="4153"/>
        <w:tab w:val="clear" w:pos="8306"/>
      </w:tabs>
      <w:jc w:val="both"/>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823C77"/>
    <w:rsid w:val="00000D8A"/>
    <w:rsid w:val="00001721"/>
    <w:rsid w:val="000046E2"/>
    <w:rsid w:val="000068A5"/>
    <w:rsid w:val="000124AB"/>
    <w:rsid w:val="00013C78"/>
    <w:rsid w:val="0001750C"/>
    <w:rsid w:val="00020C2E"/>
    <w:rsid w:val="000219D7"/>
    <w:rsid w:val="00023FAA"/>
    <w:rsid w:val="0002464D"/>
    <w:rsid w:val="00025D89"/>
    <w:rsid w:val="00032079"/>
    <w:rsid w:val="000333C5"/>
    <w:rsid w:val="00036898"/>
    <w:rsid w:val="00045436"/>
    <w:rsid w:val="00057CCD"/>
    <w:rsid w:val="00061C28"/>
    <w:rsid w:val="000637CB"/>
    <w:rsid w:val="000652D7"/>
    <w:rsid w:val="000768CD"/>
    <w:rsid w:val="00076E3C"/>
    <w:rsid w:val="00077151"/>
    <w:rsid w:val="00080360"/>
    <w:rsid w:val="00087078"/>
    <w:rsid w:val="000917B5"/>
    <w:rsid w:val="00091D38"/>
    <w:rsid w:val="00094F03"/>
    <w:rsid w:val="000B570F"/>
    <w:rsid w:val="000C1497"/>
    <w:rsid w:val="000C3EF5"/>
    <w:rsid w:val="000C3FB7"/>
    <w:rsid w:val="000D22DB"/>
    <w:rsid w:val="000D47DD"/>
    <w:rsid w:val="000D5D25"/>
    <w:rsid w:val="000D6254"/>
    <w:rsid w:val="000D62E1"/>
    <w:rsid w:val="000E4FF3"/>
    <w:rsid w:val="000F004A"/>
    <w:rsid w:val="000F2E21"/>
    <w:rsid w:val="000F484F"/>
    <w:rsid w:val="000F4B22"/>
    <w:rsid w:val="000F5925"/>
    <w:rsid w:val="00101D99"/>
    <w:rsid w:val="00107166"/>
    <w:rsid w:val="00111689"/>
    <w:rsid w:val="00112098"/>
    <w:rsid w:val="00112105"/>
    <w:rsid w:val="001132A9"/>
    <w:rsid w:val="001157BD"/>
    <w:rsid w:val="00121175"/>
    <w:rsid w:val="00124F2A"/>
    <w:rsid w:val="0012579F"/>
    <w:rsid w:val="00134491"/>
    <w:rsid w:val="00136456"/>
    <w:rsid w:val="0014219C"/>
    <w:rsid w:val="00144D21"/>
    <w:rsid w:val="001451EC"/>
    <w:rsid w:val="0015102F"/>
    <w:rsid w:val="00156BAB"/>
    <w:rsid w:val="00173CB8"/>
    <w:rsid w:val="0017577D"/>
    <w:rsid w:val="00182407"/>
    <w:rsid w:val="00183350"/>
    <w:rsid w:val="0018382F"/>
    <w:rsid w:val="0018764B"/>
    <w:rsid w:val="00190A97"/>
    <w:rsid w:val="001927BD"/>
    <w:rsid w:val="00192E30"/>
    <w:rsid w:val="00194DB8"/>
    <w:rsid w:val="00195801"/>
    <w:rsid w:val="001A09EB"/>
    <w:rsid w:val="001A7AAD"/>
    <w:rsid w:val="001B50D1"/>
    <w:rsid w:val="001B5944"/>
    <w:rsid w:val="001B6323"/>
    <w:rsid w:val="001C19A7"/>
    <w:rsid w:val="001C604A"/>
    <w:rsid w:val="001D38E2"/>
    <w:rsid w:val="001D6110"/>
    <w:rsid w:val="001E5745"/>
    <w:rsid w:val="001E6C03"/>
    <w:rsid w:val="001F0975"/>
    <w:rsid w:val="001F1039"/>
    <w:rsid w:val="001F573A"/>
    <w:rsid w:val="00202A90"/>
    <w:rsid w:val="0020449A"/>
    <w:rsid w:val="00212889"/>
    <w:rsid w:val="00213BA5"/>
    <w:rsid w:val="0021668C"/>
    <w:rsid w:val="00217A93"/>
    <w:rsid w:val="0022016C"/>
    <w:rsid w:val="00226398"/>
    <w:rsid w:val="002315C0"/>
    <w:rsid w:val="002318E9"/>
    <w:rsid w:val="00235662"/>
    <w:rsid w:val="002376FB"/>
    <w:rsid w:val="002400E4"/>
    <w:rsid w:val="00244ACA"/>
    <w:rsid w:val="00246F52"/>
    <w:rsid w:val="002514CB"/>
    <w:rsid w:val="00252252"/>
    <w:rsid w:val="00252D31"/>
    <w:rsid w:val="00257B63"/>
    <w:rsid w:val="00261D69"/>
    <w:rsid w:val="00261E6A"/>
    <w:rsid w:val="002625D5"/>
    <w:rsid w:val="00266369"/>
    <w:rsid w:val="00273E85"/>
    <w:rsid w:val="00282B79"/>
    <w:rsid w:val="00284929"/>
    <w:rsid w:val="0028493C"/>
    <w:rsid w:val="00285935"/>
    <w:rsid w:val="00287D7F"/>
    <w:rsid w:val="002A1AFF"/>
    <w:rsid w:val="002A1C94"/>
    <w:rsid w:val="002A22F1"/>
    <w:rsid w:val="002A7E87"/>
    <w:rsid w:val="002B0B3D"/>
    <w:rsid w:val="002B1B2E"/>
    <w:rsid w:val="002B4216"/>
    <w:rsid w:val="002C21BF"/>
    <w:rsid w:val="002C5ED6"/>
    <w:rsid w:val="002E2256"/>
    <w:rsid w:val="002E46C9"/>
    <w:rsid w:val="002E5EC4"/>
    <w:rsid w:val="002F7A77"/>
    <w:rsid w:val="0030204A"/>
    <w:rsid w:val="0031358B"/>
    <w:rsid w:val="00315B8E"/>
    <w:rsid w:val="0032320E"/>
    <w:rsid w:val="0032624E"/>
    <w:rsid w:val="00334744"/>
    <w:rsid w:val="003472C1"/>
    <w:rsid w:val="0035275B"/>
    <w:rsid w:val="003531EF"/>
    <w:rsid w:val="00354A84"/>
    <w:rsid w:val="003677CD"/>
    <w:rsid w:val="00373166"/>
    <w:rsid w:val="00374DF8"/>
    <w:rsid w:val="00376880"/>
    <w:rsid w:val="00383949"/>
    <w:rsid w:val="00384C59"/>
    <w:rsid w:val="00385B18"/>
    <w:rsid w:val="00386B60"/>
    <w:rsid w:val="003916A1"/>
    <w:rsid w:val="00391BA6"/>
    <w:rsid w:val="003A2C07"/>
    <w:rsid w:val="003A2F83"/>
    <w:rsid w:val="003A6E64"/>
    <w:rsid w:val="003B0B4D"/>
    <w:rsid w:val="003B115B"/>
    <w:rsid w:val="003B1F57"/>
    <w:rsid w:val="003B241A"/>
    <w:rsid w:val="003B6C0C"/>
    <w:rsid w:val="003C01F4"/>
    <w:rsid w:val="003C218D"/>
    <w:rsid w:val="003C3770"/>
    <w:rsid w:val="003C6068"/>
    <w:rsid w:val="003C6637"/>
    <w:rsid w:val="003C6A66"/>
    <w:rsid w:val="003D1FE8"/>
    <w:rsid w:val="003D37B8"/>
    <w:rsid w:val="003E0137"/>
    <w:rsid w:val="003E0544"/>
    <w:rsid w:val="003E0E19"/>
    <w:rsid w:val="003F54EA"/>
    <w:rsid w:val="003F73E8"/>
    <w:rsid w:val="00406829"/>
    <w:rsid w:val="00407E97"/>
    <w:rsid w:val="00413053"/>
    <w:rsid w:val="004202AE"/>
    <w:rsid w:val="00421F61"/>
    <w:rsid w:val="00426A98"/>
    <w:rsid w:val="004319AB"/>
    <w:rsid w:val="00432C8A"/>
    <w:rsid w:val="00442F8B"/>
    <w:rsid w:val="00444737"/>
    <w:rsid w:val="0044562D"/>
    <w:rsid w:val="004478C3"/>
    <w:rsid w:val="004548B1"/>
    <w:rsid w:val="0048005C"/>
    <w:rsid w:val="00486129"/>
    <w:rsid w:val="00491614"/>
    <w:rsid w:val="004939DE"/>
    <w:rsid w:val="004945EC"/>
    <w:rsid w:val="004A0CD3"/>
    <w:rsid w:val="004A1CA9"/>
    <w:rsid w:val="004A1F24"/>
    <w:rsid w:val="004B7184"/>
    <w:rsid w:val="004B7BE1"/>
    <w:rsid w:val="004C2946"/>
    <w:rsid w:val="004C3799"/>
    <w:rsid w:val="004D5495"/>
    <w:rsid w:val="004E070F"/>
    <w:rsid w:val="004E2B47"/>
    <w:rsid w:val="004E543C"/>
    <w:rsid w:val="004F0845"/>
    <w:rsid w:val="004F0C9E"/>
    <w:rsid w:val="004F0D7D"/>
    <w:rsid w:val="004F2ABF"/>
    <w:rsid w:val="004F7D17"/>
    <w:rsid w:val="00501589"/>
    <w:rsid w:val="00501A0F"/>
    <w:rsid w:val="00505844"/>
    <w:rsid w:val="0051335B"/>
    <w:rsid w:val="00513F90"/>
    <w:rsid w:val="00524359"/>
    <w:rsid w:val="00532451"/>
    <w:rsid w:val="00540A91"/>
    <w:rsid w:val="00542188"/>
    <w:rsid w:val="005514F1"/>
    <w:rsid w:val="005531E0"/>
    <w:rsid w:val="005541CF"/>
    <w:rsid w:val="0056563B"/>
    <w:rsid w:val="00565DDD"/>
    <w:rsid w:val="0057310A"/>
    <w:rsid w:val="005753B8"/>
    <w:rsid w:val="00576FE6"/>
    <w:rsid w:val="00580619"/>
    <w:rsid w:val="00582A49"/>
    <w:rsid w:val="00585271"/>
    <w:rsid w:val="00586BED"/>
    <w:rsid w:val="00593B2D"/>
    <w:rsid w:val="00595E39"/>
    <w:rsid w:val="005A156E"/>
    <w:rsid w:val="005A2DD8"/>
    <w:rsid w:val="005A4FDC"/>
    <w:rsid w:val="005A5F9D"/>
    <w:rsid w:val="005B38C2"/>
    <w:rsid w:val="005C1120"/>
    <w:rsid w:val="005C346A"/>
    <w:rsid w:val="005C4A3A"/>
    <w:rsid w:val="005C4B08"/>
    <w:rsid w:val="005D16B8"/>
    <w:rsid w:val="005D6727"/>
    <w:rsid w:val="005E0D82"/>
    <w:rsid w:val="005F06E8"/>
    <w:rsid w:val="005F3F8C"/>
    <w:rsid w:val="005F6F9F"/>
    <w:rsid w:val="0060285B"/>
    <w:rsid w:val="006034BF"/>
    <w:rsid w:val="00604773"/>
    <w:rsid w:val="00607563"/>
    <w:rsid w:val="0060765F"/>
    <w:rsid w:val="0062344E"/>
    <w:rsid w:val="00626BFD"/>
    <w:rsid w:val="006420CE"/>
    <w:rsid w:val="00655525"/>
    <w:rsid w:val="006573FD"/>
    <w:rsid w:val="00661A68"/>
    <w:rsid w:val="00662051"/>
    <w:rsid w:val="00671088"/>
    <w:rsid w:val="0067375A"/>
    <w:rsid w:val="00673A26"/>
    <w:rsid w:val="006878CB"/>
    <w:rsid w:val="00695713"/>
    <w:rsid w:val="006966E3"/>
    <w:rsid w:val="006A185A"/>
    <w:rsid w:val="006A730E"/>
    <w:rsid w:val="006A7F98"/>
    <w:rsid w:val="006B3BA1"/>
    <w:rsid w:val="006C157C"/>
    <w:rsid w:val="006C37E5"/>
    <w:rsid w:val="006D0E09"/>
    <w:rsid w:val="006D2D5D"/>
    <w:rsid w:val="006E19D0"/>
    <w:rsid w:val="006E1B57"/>
    <w:rsid w:val="006E5800"/>
    <w:rsid w:val="006E7C03"/>
    <w:rsid w:val="006F3194"/>
    <w:rsid w:val="006F34FC"/>
    <w:rsid w:val="006F4041"/>
    <w:rsid w:val="00700978"/>
    <w:rsid w:val="007012BA"/>
    <w:rsid w:val="007034B6"/>
    <w:rsid w:val="00704206"/>
    <w:rsid w:val="0070504D"/>
    <w:rsid w:val="00712F1E"/>
    <w:rsid w:val="00717640"/>
    <w:rsid w:val="007206C7"/>
    <w:rsid w:val="00723129"/>
    <w:rsid w:val="0073575C"/>
    <w:rsid w:val="00736528"/>
    <w:rsid w:val="007372CC"/>
    <w:rsid w:val="00741A00"/>
    <w:rsid w:val="00741AEB"/>
    <w:rsid w:val="00746EFD"/>
    <w:rsid w:val="00751069"/>
    <w:rsid w:val="007510FE"/>
    <w:rsid w:val="00754716"/>
    <w:rsid w:val="0075638E"/>
    <w:rsid w:val="00760FF5"/>
    <w:rsid w:val="00762552"/>
    <w:rsid w:val="00764106"/>
    <w:rsid w:val="0077043D"/>
    <w:rsid w:val="00773CF0"/>
    <w:rsid w:val="00775D9F"/>
    <w:rsid w:val="007800FB"/>
    <w:rsid w:val="00785450"/>
    <w:rsid w:val="00786FD8"/>
    <w:rsid w:val="007872DD"/>
    <w:rsid w:val="00787667"/>
    <w:rsid w:val="007944C4"/>
    <w:rsid w:val="00794911"/>
    <w:rsid w:val="007A6335"/>
    <w:rsid w:val="007B0EEC"/>
    <w:rsid w:val="007B1F39"/>
    <w:rsid w:val="007B28F5"/>
    <w:rsid w:val="007B4E35"/>
    <w:rsid w:val="007C1B7A"/>
    <w:rsid w:val="007D71FC"/>
    <w:rsid w:val="007E5649"/>
    <w:rsid w:val="007E615F"/>
    <w:rsid w:val="007F3678"/>
    <w:rsid w:val="007F7E1F"/>
    <w:rsid w:val="00803DFD"/>
    <w:rsid w:val="00810F52"/>
    <w:rsid w:val="00811C4A"/>
    <w:rsid w:val="008125A7"/>
    <w:rsid w:val="0081278C"/>
    <w:rsid w:val="00813565"/>
    <w:rsid w:val="00813DC2"/>
    <w:rsid w:val="008220DD"/>
    <w:rsid w:val="00823C77"/>
    <w:rsid w:val="00835A9E"/>
    <w:rsid w:val="0084555E"/>
    <w:rsid w:val="00847DD3"/>
    <w:rsid w:val="00852A53"/>
    <w:rsid w:val="00854EBE"/>
    <w:rsid w:val="00863E10"/>
    <w:rsid w:val="0086451B"/>
    <w:rsid w:val="00867E4A"/>
    <w:rsid w:val="0087022E"/>
    <w:rsid w:val="00871359"/>
    <w:rsid w:val="0088666C"/>
    <w:rsid w:val="008947C1"/>
    <w:rsid w:val="00895A9E"/>
    <w:rsid w:val="00896AA6"/>
    <w:rsid w:val="008A68E6"/>
    <w:rsid w:val="008B16A0"/>
    <w:rsid w:val="008B1DE6"/>
    <w:rsid w:val="008B22A7"/>
    <w:rsid w:val="008B271D"/>
    <w:rsid w:val="008C3111"/>
    <w:rsid w:val="008D1739"/>
    <w:rsid w:val="008E09A5"/>
    <w:rsid w:val="008E09B0"/>
    <w:rsid w:val="008E6A8F"/>
    <w:rsid w:val="008F10A4"/>
    <w:rsid w:val="008F16EE"/>
    <w:rsid w:val="008F2517"/>
    <w:rsid w:val="008F5171"/>
    <w:rsid w:val="008F5805"/>
    <w:rsid w:val="00923F10"/>
    <w:rsid w:val="009243AC"/>
    <w:rsid w:val="00926883"/>
    <w:rsid w:val="00930D07"/>
    <w:rsid w:val="0093124F"/>
    <w:rsid w:val="00931B6A"/>
    <w:rsid w:val="00934FEB"/>
    <w:rsid w:val="00935B9E"/>
    <w:rsid w:val="00936C1A"/>
    <w:rsid w:val="009376EF"/>
    <w:rsid w:val="00941F86"/>
    <w:rsid w:val="009434F7"/>
    <w:rsid w:val="00947DD7"/>
    <w:rsid w:val="00951AB9"/>
    <w:rsid w:val="00954796"/>
    <w:rsid w:val="009556DC"/>
    <w:rsid w:val="00962562"/>
    <w:rsid w:val="009633DE"/>
    <w:rsid w:val="009638DE"/>
    <w:rsid w:val="009652A8"/>
    <w:rsid w:val="00974D8E"/>
    <w:rsid w:val="00974ED5"/>
    <w:rsid w:val="00982DA8"/>
    <w:rsid w:val="00983871"/>
    <w:rsid w:val="00984531"/>
    <w:rsid w:val="009A0568"/>
    <w:rsid w:val="009A6DFC"/>
    <w:rsid w:val="009B30EB"/>
    <w:rsid w:val="009B6AB3"/>
    <w:rsid w:val="009B6D2F"/>
    <w:rsid w:val="009B6F80"/>
    <w:rsid w:val="009C2BB2"/>
    <w:rsid w:val="009C36B0"/>
    <w:rsid w:val="009C4059"/>
    <w:rsid w:val="009D3B53"/>
    <w:rsid w:val="009D58A3"/>
    <w:rsid w:val="009D5A4A"/>
    <w:rsid w:val="009D6036"/>
    <w:rsid w:val="009F41ED"/>
    <w:rsid w:val="00A06FD5"/>
    <w:rsid w:val="00A07C82"/>
    <w:rsid w:val="00A103FD"/>
    <w:rsid w:val="00A15732"/>
    <w:rsid w:val="00A15E23"/>
    <w:rsid w:val="00A23644"/>
    <w:rsid w:val="00A25D38"/>
    <w:rsid w:val="00A35088"/>
    <w:rsid w:val="00A42511"/>
    <w:rsid w:val="00A45F46"/>
    <w:rsid w:val="00A47D41"/>
    <w:rsid w:val="00A5172F"/>
    <w:rsid w:val="00A51C06"/>
    <w:rsid w:val="00A54FF7"/>
    <w:rsid w:val="00A57EE4"/>
    <w:rsid w:val="00A61268"/>
    <w:rsid w:val="00A65B47"/>
    <w:rsid w:val="00A67607"/>
    <w:rsid w:val="00A67B3F"/>
    <w:rsid w:val="00A73C7B"/>
    <w:rsid w:val="00A750BF"/>
    <w:rsid w:val="00A77E1E"/>
    <w:rsid w:val="00A804B2"/>
    <w:rsid w:val="00A87CE9"/>
    <w:rsid w:val="00A91545"/>
    <w:rsid w:val="00A91FE0"/>
    <w:rsid w:val="00A96120"/>
    <w:rsid w:val="00AA4A7A"/>
    <w:rsid w:val="00AC7747"/>
    <w:rsid w:val="00AD1A3C"/>
    <w:rsid w:val="00AE0DF2"/>
    <w:rsid w:val="00AE1ECC"/>
    <w:rsid w:val="00AE6731"/>
    <w:rsid w:val="00AE7862"/>
    <w:rsid w:val="00AF72D0"/>
    <w:rsid w:val="00AF7804"/>
    <w:rsid w:val="00B01259"/>
    <w:rsid w:val="00B03522"/>
    <w:rsid w:val="00B11956"/>
    <w:rsid w:val="00B12DD2"/>
    <w:rsid w:val="00B254F7"/>
    <w:rsid w:val="00B322A7"/>
    <w:rsid w:val="00B329EF"/>
    <w:rsid w:val="00B3334E"/>
    <w:rsid w:val="00B33FFD"/>
    <w:rsid w:val="00B35649"/>
    <w:rsid w:val="00B35BD9"/>
    <w:rsid w:val="00B369D6"/>
    <w:rsid w:val="00B404FC"/>
    <w:rsid w:val="00B51ED9"/>
    <w:rsid w:val="00B52380"/>
    <w:rsid w:val="00B63F63"/>
    <w:rsid w:val="00B70068"/>
    <w:rsid w:val="00B70B63"/>
    <w:rsid w:val="00B714C6"/>
    <w:rsid w:val="00B71846"/>
    <w:rsid w:val="00B750A3"/>
    <w:rsid w:val="00B77876"/>
    <w:rsid w:val="00B8172B"/>
    <w:rsid w:val="00B8519F"/>
    <w:rsid w:val="00B854C3"/>
    <w:rsid w:val="00B86CB3"/>
    <w:rsid w:val="00B90200"/>
    <w:rsid w:val="00B92306"/>
    <w:rsid w:val="00B93F21"/>
    <w:rsid w:val="00B94525"/>
    <w:rsid w:val="00BB47C3"/>
    <w:rsid w:val="00BB5FB2"/>
    <w:rsid w:val="00BC75EF"/>
    <w:rsid w:val="00BC7689"/>
    <w:rsid w:val="00BD4500"/>
    <w:rsid w:val="00BD7795"/>
    <w:rsid w:val="00BF0AFA"/>
    <w:rsid w:val="00BF2363"/>
    <w:rsid w:val="00BF3971"/>
    <w:rsid w:val="00C0184F"/>
    <w:rsid w:val="00C03DC5"/>
    <w:rsid w:val="00C07985"/>
    <w:rsid w:val="00C116EA"/>
    <w:rsid w:val="00C1222D"/>
    <w:rsid w:val="00C25FC0"/>
    <w:rsid w:val="00C27C8B"/>
    <w:rsid w:val="00C31F7C"/>
    <w:rsid w:val="00C46647"/>
    <w:rsid w:val="00C54AD7"/>
    <w:rsid w:val="00C631A1"/>
    <w:rsid w:val="00C67678"/>
    <w:rsid w:val="00C733F1"/>
    <w:rsid w:val="00C75447"/>
    <w:rsid w:val="00C76E48"/>
    <w:rsid w:val="00C80225"/>
    <w:rsid w:val="00C82FEC"/>
    <w:rsid w:val="00CA0F42"/>
    <w:rsid w:val="00CA6B5F"/>
    <w:rsid w:val="00CA6E16"/>
    <w:rsid w:val="00CA7204"/>
    <w:rsid w:val="00CB39F6"/>
    <w:rsid w:val="00CB6F02"/>
    <w:rsid w:val="00CB7F90"/>
    <w:rsid w:val="00CC0B6D"/>
    <w:rsid w:val="00CC40D9"/>
    <w:rsid w:val="00CC7285"/>
    <w:rsid w:val="00CD4B71"/>
    <w:rsid w:val="00CD50DA"/>
    <w:rsid w:val="00CD5DB9"/>
    <w:rsid w:val="00CE0004"/>
    <w:rsid w:val="00CE2B24"/>
    <w:rsid w:val="00CE62A3"/>
    <w:rsid w:val="00CE6C63"/>
    <w:rsid w:val="00CE763C"/>
    <w:rsid w:val="00CF203A"/>
    <w:rsid w:val="00CF458F"/>
    <w:rsid w:val="00D00137"/>
    <w:rsid w:val="00D16EC5"/>
    <w:rsid w:val="00D26CD0"/>
    <w:rsid w:val="00D329A9"/>
    <w:rsid w:val="00D3472A"/>
    <w:rsid w:val="00D43A45"/>
    <w:rsid w:val="00D44CC1"/>
    <w:rsid w:val="00D46414"/>
    <w:rsid w:val="00D522BE"/>
    <w:rsid w:val="00D5376D"/>
    <w:rsid w:val="00D54E4D"/>
    <w:rsid w:val="00D610A0"/>
    <w:rsid w:val="00D635BF"/>
    <w:rsid w:val="00D65F43"/>
    <w:rsid w:val="00D70209"/>
    <w:rsid w:val="00D718AE"/>
    <w:rsid w:val="00D8060A"/>
    <w:rsid w:val="00D8102D"/>
    <w:rsid w:val="00D8789C"/>
    <w:rsid w:val="00D94278"/>
    <w:rsid w:val="00D943A8"/>
    <w:rsid w:val="00DA13E2"/>
    <w:rsid w:val="00DA1547"/>
    <w:rsid w:val="00DA1647"/>
    <w:rsid w:val="00DA3AF2"/>
    <w:rsid w:val="00DB1DB7"/>
    <w:rsid w:val="00DB2360"/>
    <w:rsid w:val="00DB2DBE"/>
    <w:rsid w:val="00DB41F8"/>
    <w:rsid w:val="00DB5F9B"/>
    <w:rsid w:val="00DC0D83"/>
    <w:rsid w:val="00DD1131"/>
    <w:rsid w:val="00DD1202"/>
    <w:rsid w:val="00DD1A57"/>
    <w:rsid w:val="00DD789C"/>
    <w:rsid w:val="00DE0F78"/>
    <w:rsid w:val="00DE1564"/>
    <w:rsid w:val="00DE422A"/>
    <w:rsid w:val="00DE4AAA"/>
    <w:rsid w:val="00DE62D7"/>
    <w:rsid w:val="00DF0358"/>
    <w:rsid w:val="00DF09EB"/>
    <w:rsid w:val="00DF0CF9"/>
    <w:rsid w:val="00DF6C6B"/>
    <w:rsid w:val="00DF712A"/>
    <w:rsid w:val="00E04491"/>
    <w:rsid w:val="00E07BF5"/>
    <w:rsid w:val="00E11E45"/>
    <w:rsid w:val="00E15F9B"/>
    <w:rsid w:val="00E234D6"/>
    <w:rsid w:val="00E238A3"/>
    <w:rsid w:val="00E252D8"/>
    <w:rsid w:val="00E3205C"/>
    <w:rsid w:val="00E33746"/>
    <w:rsid w:val="00E342A3"/>
    <w:rsid w:val="00E36AE9"/>
    <w:rsid w:val="00E36BDA"/>
    <w:rsid w:val="00E408F4"/>
    <w:rsid w:val="00E413AD"/>
    <w:rsid w:val="00E41C64"/>
    <w:rsid w:val="00E460DC"/>
    <w:rsid w:val="00E476ED"/>
    <w:rsid w:val="00E5494A"/>
    <w:rsid w:val="00E6138E"/>
    <w:rsid w:val="00E61460"/>
    <w:rsid w:val="00E62037"/>
    <w:rsid w:val="00E62055"/>
    <w:rsid w:val="00E65217"/>
    <w:rsid w:val="00E65284"/>
    <w:rsid w:val="00E675B1"/>
    <w:rsid w:val="00E7209B"/>
    <w:rsid w:val="00E73FF5"/>
    <w:rsid w:val="00E81457"/>
    <w:rsid w:val="00E84D7F"/>
    <w:rsid w:val="00E91007"/>
    <w:rsid w:val="00E951AA"/>
    <w:rsid w:val="00EA4603"/>
    <w:rsid w:val="00EA4FD5"/>
    <w:rsid w:val="00EA5897"/>
    <w:rsid w:val="00EB3F7F"/>
    <w:rsid w:val="00EB792E"/>
    <w:rsid w:val="00EC21E5"/>
    <w:rsid w:val="00EC2876"/>
    <w:rsid w:val="00ED1106"/>
    <w:rsid w:val="00ED334F"/>
    <w:rsid w:val="00ED4AF6"/>
    <w:rsid w:val="00ED6571"/>
    <w:rsid w:val="00ED763A"/>
    <w:rsid w:val="00EE17A5"/>
    <w:rsid w:val="00EE1C88"/>
    <w:rsid w:val="00EE46E3"/>
    <w:rsid w:val="00EE7B4D"/>
    <w:rsid w:val="00EF2159"/>
    <w:rsid w:val="00EF571B"/>
    <w:rsid w:val="00EF5815"/>
    <w:rsid w:val="00F02573"/>
    <w:rsid w:val="00F13B28"/>
    <w:rsid w:val="00F15E8D"/>
    <w:rsid w:val="00F176B3"/>
    <w:rsid w:val="00F21D1C"/>
    <w:rsid w:val="00F23B56"/>
    <w:rsid w:val="00F30934"/>
    <w:rsid w:val="00F40830"/>
    <w:rsid w:val="00F4091E"/>
    <w:rsid w:val="00F6125F"/>
    <w:rsid w:val="00F61B4B"/>
    <w:rsid w:val="00F64C73"/>
    <w:rsid w:val="00F64D73"/>
    <w:rsid w:val="00F65EDE"/>
    <w:rsid w:val="00F67BCB"/>
    <w:rsid w:val="00F71FDF"/>
    <w:rsid w:val="00F73246"/>
    <w:rsid w:val="00F751AD"/>
    <w:rsid w:val="00F7573C"/>
    <w:rsid w:val="00F77479"/>
    <w:rsid w:val="00F774EB"/>
    <w:rsid w:val="00F9649E"/>
    <w:rsid w:val="00FA59C4"/>
    <w:rsid w:val="00FB165B"/>
    <w:rsid w:val="00FB554E"/>
    <w:rsid w:val="00FB60E5"/>
    <w:rsid w:val="00FB6D23"/>
    <w:rsid w:val="00FC3AB0"/>
    <w:rsid w:val="00FC4FCE"/>
    <w:rsid w:val="00FC75EB"/>
    <w:rsid w:val="00FF0D59"/>
    <w:rsid w:val="00FF0FC1"/>
    <w:rsid w:val="00FF1E8C"/>
    <w:rsid w:val="0454791F"/>
    <w:rsid w:val="2770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25">
    <w:name w:val="Default Paragraph Font"/>
    <w:semiHidden/>
    <w:unhideWhenUsed/>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48"/>
    <w:semiHidden/>
    <w:unhideWhenUsed/>
    <w:qFormat/>
    <w:uiPriority w:val="0"/>
    <w:rPr>
      <w:b/>
      <w:bCs/>
    </w:rPr>
  </w:style>
  <w:style w:type="paragraph" w:styleId="5">
    <w:name w:val="annotation text"/>
    <w:basedOn w:val="1"/>
    <w:link w:val="47"/>
    <w:semiHidden/>
    <w:unhideWhenUsed/>
    <w:qFormat/>
    <w:uiPriority w:val="0"/>
    <w:pPr>
      <w:jc w:val="left"/>
    </w:pPr>
  </w:style>
  <w:style w:type="paragraph" w:styleId="6">
    <w:name w:val="toc 7"/>
    <w:basedOn w:val="1"/>
    <w:next w:val="1"/>
    <w:qFormat/>
    <w:uiPriority w:val="0"/>
    <w:pPr>
      <w:jc w:val="left"/>
    </w:pPr>
    <w:rPr>
      <w:rFonts w:ascii="Calibri" w:hAnsi="Calibri"/>
      <w:sz w:val="22"/>
      <w:szCs w:val="22"/>
    </w:rPr>
  </w:style>
  <w:style w:type="paragraph" w:styleId="7">
    <w:name w:val="Document Map"/>
    <w:basedOn w:val="1"/>
    <w:link w:val="39"/>
    <w:qFormat/>
    <w:uiPriority w:val="0"/>
    <w:rPr>
      <w:rFonts w:ascii="宋体"/>
      <w:sz w:val="18"/>
      <w:szCs w:val="18"/>
    </w:rPr>
  </w:style>
  <w:style w:type="paragraph" w:styleId="8">
    <w:name w:val="Body Text Indent"/>
    <w:basedOn w:val="1"/>
    <w:link w:val="36"/>
    <w:uiPriority w:val="0"/>
    <w:pPr>
      <w:spacing w:after="120"/>
      <w:ind w:left="420" w:leftChars="200"/>
    </w:pPr>
  </w:style>
  <w:style w:type="paragraph" w:styleId="9">
    <w:name w:val="toc 5"/>
    <w:basedOn w:val="1"/>
    <w:next w:val="1"/>
    <w:qFormat/>
    <w:uiPriority w:val="0"/>
    <w:pPr>
      <w:jc w:val="left"/>
    </w:pPr>
    <w:rPr>
      <w:rFonts w:ascii="Calibri" w:hAnsi="Calibri"/>
      <w:sz w:val="22"/>
      <w:szCs w:val="22"/>
    </w:rPr>
  </w:style>
  <w:style w:type="paragraph" w:styleId="10">
    <w:name w:val="toc 3"/>
    <w:basedOn w:val="1"/>
    <w:next w:val="1"/>
    <w:qFormat/>
    <w:uiPriority w:val="0"/>
    <w:pPr>
      <w:jc w:val="left"/>
    </w:pPr>
    <w:rPr>
      <w:rFonts w:ascii="Calibri" w:hAnsi="Calibri"/>
      <w:smallCaps/>
      <w:sz w:val="22"/>
      <w:szCs w:val="22"/>
    </w:rPr>
  </w:style>
  <w:style w:type="paragraph" w:styleId="11">
    <w:name w:val="Plain Text"/>
    <w:basedOn w:val="1"/>
    <w:link w:val="45"/>
    <w:qFormat/>
    <w:uiPriority w:val="0"/>
    <w:rPr>
      <w:rFonts w:ascii="宋体" w:hAnsi="Courier New"/>
      <w:szCs w:val="20"/>
    </w:rPr>
  </w:style>
  <w:style w:type="paragraph" w:styleId="12">
    <w:name w:val="toc 8"/>
    <w:basedOn w:val="1"/>
    <w:next w:val="1"/>
    <w:qFormat/>
    <w:uiPriority w:val="0"/>
    <w:pPr>
      <w:jc w:val="left"/>
    </w:pPr>
    <w:rPr>
      <w:rFonts w:ascii="Calibri" w:hAnsi="Calibri"/>
      <w:sz w:val="22"/>
      <w:szCs w:val="22"/>
    </w:rPr>
  </w:style>
  <w:style w:type="paragraph" w:styleId="13">
    <w:name w:val="Date"/>
    <w:basedOn w:val="1"/>
    <w:next w:val="1"/>
    <w:qFormat/>
    <w:uiPriority w:val="0"/>
    <w:pPr>
      <w:ind w:left="100" w:leftChars="2500"/>
    </w:pPr>
  </w:style>
  <w:style w:type="paragraph" w:styleId="14">
    <w:name w:val="Balloon Text"/>
    <w:basedOn w:val="1"/>
    <w:link w:val="40"/>
    <w:uiPriority w:val="0"/>
    <w:rPr>
      <w:sz w:val="18"/>
      <w:szCs w:val="18"/>
    </w:rPr>
  </w:style>
  <w:style w:type="paragraph" w:styleId="15">
    <w:name w:val="footer"/>
    <w:basedOn w:val="1"/>
    <w:link w:val="42"/>
    <w:qFormat/>
    <w:uiPriority w:val="99"/>
    <w:pPr>
      <w:tabs>
        <w:tab w:val="center" w:pos="4153"/>
        <w:tab w:val="right" w:pos="8306"/>
      </w:tabs>
      <w:snapToGrid w:val="0"/>
      <w:jc w:val="left"/>
    </w:pPr>
    <w:rPr>
      <w:sz w:val="18"/>
      <w:szCs w:val="18"/>
    </w:rPr>
  </w:style>
  <w:style w:type="paragraph" w:styleId="16">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spacing w:line="360" w:lineRule="auto"/>
      <w:jc w:val="left"/>
    </w:pPr>
    <w:rPr>
      <w:rFonts w:ascii="Calibri" w:hAnsi="Calibri"/>
      <w:b/>
      <w:bCs/>
      <w:caps/>
      <w:sz w:val="22"/>
      <w:szCs w:val="22"/>
      <w:u w:val="single"/>
    </w:rPr>
  </w:style>
  <w:style w:type="paragraph" w:styleId="18">
    <w:name w:val="toc 4"/>
    <w:basedOn w:val="1"/>
    <w:next w:val="1"/>
    <w:uiPriority w:val="0"/>
    <w:pPr>
      <w:jc w:val="left"/>
    </w:pPr>
    <w:rPr>
      <w:rFonts w:ascii="Calibri" w:hAnsi="Calibri"/>
      <w:sz w:val="22"/>
      <w:szCs w:val="22"/>
    </w:rPr>
  </w:style>
  <w:style w:type="paragraph" w:styleId="19">
    <w:name w:val="List"/>
    <w:basedOn w:val="1"/>
    <w:qFormat/>
    <w:uiPriority w:val="0"/>
    <w:pPr>
      <w:widowControl/>
      <w:ind w:left="200" w:hanging="200" w:hangingChars="200"/>
      <w:jc w:val="left"/>
    </w:pPr>
    <w:rPr>
      <w:kern w:val="0"/>
      <w:sz w:val="24"/>
    </w:rPr>
  </w:style>
  <w:style w:type="paragraph" w:styleId="20">
    <w:name w:val="toc 6"/>
    <w:basedOn w:val="1"/>
    <w:next w:val="1"/>
    <w:qFormat/>
    <w:uiPriority w:val="0"/>
    <w:pPr>
      <w:jc w:val="left"/>
    </w:pPr>
    <w:rPr>
      <w:rFonts w:ascii="Calibri" w:hAnsi="Calibri"/>
      <w:sz w:val="22"/>
      <w:szCs w:val="22"/>
    </w:rPr>
  </w:style>
  <w:style w:type="paragraph" w:styleId="21">
    <w:name w:val="Body Text Indent 3"/>
    <w:basedOn w:val="1"/>
    <w:link w:val="35"/>
    <w:unhideWhenUsed/>
    <w:qFormat/>
    <w:uiPriority w:val="99"/>
    <w:pPr>
      <w:widowControl/>
      <w:spacing w:before="100" w:beforeAutospacing="1" w:after="100" w:afterAutospacing="1"/>
      <w:jc w:val="left"/>
    </w:pPr>
    <w:rPr>
      <w:rFonts w:ascii="宋体" w:hAnsi="宋体" w:cs="宋体"/>
      <w:kern w:val="0"/>
      <w:sz w:val="24"/>
    </w:rPr>
  </w:style>
  <w:style w:type="paragraph" w:styleId="22">
    <w:name w:val="toc 2"/>
    <w:basedOn w:val="1"/>
    <w:next w:val="1"/>
    <w:qFormat/>
    <w:uiPriority w:val="0"/>
    <w:pPr>
      <w:jc w:val="left"/>
    </w:pPr>
    <w:rPr>
      <w:rFonts w:ascii="Calibri" w:hAnsi="Calibri"/>
      <w:b/>
      <w:bCs/>
      <w:smallCaps/>
      <w:sz w:val="22"/>
      <w:szCs w:val="22"/>
    </w:rPr>
  </w:style>
  <w:style w:type="paragraph" w:styleId="23">
    <w:name w:val="toc 9"/>
    <w:basedOn w:val="1"/>
    <w:next w:val="1"/>
    <w:qFormat/>
    <w:uiPriority w:val="0"/>
    <w:pPr>
      <w:jc w:val="left"/>
    </w:pPr>
    <w:rPr>
      <w:rFonts w:ascii="Calibri" w:hAnsi="Calibri"/>
      <w:sz w:val="22"/>
      <w:szCs w:val="22"/>
    </w:rPr>
  </w:style>
  <w:style w:type="paragraph" w:styleId="24">
    <w:name w:val="Normal (Web)"/>
    <w:basedOn w:val="1"/>
    <w:qFormat/>
    <w:uiPriority w:val="99"/>
    <w:pPr>
      <w:widowControl/>
      <w:spacing w:before="100" w:beforeAutospacing="1" w:after="100" w:afterAutospacing="1"/>
      <w:jc w:val="left"/>
    </w:pPr>
    <w:rPr>
      <w:rFonts w:ascii="宋体" w:hAnsi="宋体"/>
      <w:kern w:val="0"/>
      <w:sz w:val="24"/>
    </w:rPr>
  </w:style>
  <w:style w:type="character" w:styleId="26">
    <w:name w:val="Strong"/>
    <w:basedOn w:val="25"/>
    <w:qFormat/>
    <w:uiPriority w:val="22"/>
    <w:rPr>
      <w:b/>
      <w:bCs/>
    </w:rPr>
  </w:style>
  <w:style w:type="character" w:styleId="27">
    <w:name w:val="page number"/>
    <w:basedOn w:val="25"/>
    <w:qFormat/>
    <w:uiPriority w:val="0"/>
  </w:style>
  <w:style w:type="character" w:styleId="28">
    <w:name w:val="Emphasis"/>
    <w:basedOn w:val="25"/>
    <w:qFormat/>
    <w:uiPriority w:val="20"/>
    <w:rPr>
      <w:i/>
      <w:iCs/>
    </w:rPr>
  </w:style>
  <w:style w:type="character" w:styleId="29">
    <w:name w:val="Hyperlink"/>
    <w:basedOn w:val="25"/>
    <w:qFormat/>
    <w:uiPriority w:val="99"/>
    <w:rPr>
      <w:color w:val="0066CC"/>
      <w:u w:val="none"/>
    </w:rPr>
  </w:style>
  <w:style w:type="character" w:styleId="30">
    <w:name w:val="annotation reference"/>
    <w:basedOn w:val="25"/>
    <w:semiHidden/>
    <w:unhideWhenUsed/>
    <w:qFormat/>
    <w:uiPriority w:val="0"/>
    <w:rPr>
      <w:sz w:val="21"/>
      <w:szCs w:val="21"/>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3">
    <w:name w:val="Table Simple 1"/>
    <w:basedOn w:val="31"/>
    <w:qFormat/>
    <w:uiPriority w:val="0"/>
    <w:pPr>
      <w:widowControl w:val="0"/>
      <w:jc w:val="both"/>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character" w:customStyle="1" w:styleId="34">
    <w:name w:val="unnamed21"/>
    <w:basedOn w:val="25"/>
    <w:qFormat/>
    <w:uiPriority w:val="0"/>
    <w:rPr>
      <w:color w:val="333333"/>
      <w:spacing w:val="600"/>
      <w:sz w:val="24"/>
      <w:szCs w:val="24"/>
    </w:rPr>
  </w:style>
  <w:style w:type="character" w:customStyle="1" w:styleId="35">
    <w:name w:val="正文文本缩进 3 Char"/>
    <w:basedOn w:val="25"/>
    <w:link w:val="21"/>
    <w:qFormat/>
    <w:uiPriority w:val="99"/>
    <w:rPr>
      <w:rFonts w:ascii="宋体" w:hAnsi="宋体" w:cs="宋体"/>
      <w:sz w:val="24"/>
      <w:szCs w:val="24"/>
    </w:rPr>
  </w:style>
  <w:style w:type="character" w:customStyle="1" w:styleId="36">
    <w:name w:val="正文文本缩进 Char"/>
    <w:basedOn w:val="25"/>
    <w:link w:val="8"/>
    <w:qFormat/>
    <w:uiPriority w:val="0"/>
    <w:rPr>
      <w:kern w:val="2"/>
      <w:sz w:val="21"/>
      <w:szCs w:val="24"/>
    </w:rPr>
  </w:style>
  <w:style w:type="character" w:customStyle="1" w:styleId="37">
    <w:name w:val="标题 1 Char"/>
    <w:basedOn w:val="25"/>
    <w:link w:val="2"/>
    <w:qFormat/>
    <w:uiPriority w:val="0"/>
    <w:rPr>
      <w:b/>
      <w:bCs/>
      <w:kern w:val="44"/>
      <w:sz w:val="44"/>
      <w:szCs w:val="44"/>
    </w:rPr>
  </w:style>
  <w:style w:type="character" w:customStyle="1" w:styleId="38">
    <w:name w:val="标题 2 Char"/>
    <w:basedOn w:val="25"/>
    <w:link w:val="3"/>
    <w:semiHidden/>
    <w:qFormat/>
    <w:uiPriority w:val="0"/>
    <w:rPr>
      <w:rFonts w:ascii="Cambria" w:hAnsi="Cambria" w:eastAsia="宋体" w:cs="Times New Roman"/>
      <w:b/>
      <w:bCs/>
      <w:kern w:val="2"/>
      <w:sz w:val="32"/>
      <w:szCs w:val="32"/>
    </w:rPr>
  </w:style>
  <w:style w:type="character" w:customStyle="1" w:styleId="39">
    <w:name w:val="文档结构图 Char"/>
    <w:basedOn w:val="25"/>
    <w:link w:val="7"/>
    <w:qFormat/>
    <w:uiPriority w:val="0"/>
    <w:rPr>
      <w:rFonts w:ascii="宋体"/>
      <w:kern w:val="2"/>
      <w:sz w:val="18"/>
      <w:szCs w:val="18"/>
    </w:rPr>
  </w:style>
  <w:style w:type="character" w:customStyle="1" w:styleId="40">
    <w:name w:val="批注框文本 Char"/>
    <w:basedOn w:val="25"/>
    <w:link w:val="14"/>
    <w:qFormat/>
    <w:uiPriority w:val="0"/>
    <w:rPr>
      <w:kern w:val="2"/>
      <w:sz w:val="18"/>
      <w:szCs w:val="18"/>
    </w:rPr>
  </w:style>
  <w:style w:type="paragraph" w:styleId="41">
    <w:name w:val="List Paragraph"/>
    <w:basedOn w:val="1"/>
    <w:qFormat/>
    <w:uiPriority w:val="34"/>
    <w:pPr>
      <w:ind w:firstLine="420" w:firstLineChars="200"/>
    </w:pPr>
  </w:style>
  <w:style w:type="character" w:customStyle="1" w:styleId="42">
    <w:name w:val="页脚 Char"/>
    <w:basedOn w:val="25"/>
    <w:link w:val="15"/>
    <w:qFormat/>
    <w:uiPriority w:val="99"/>
    <w:rPr>
      <w:kern w:val="2"/>
      <w:sz w:val="18"/>
      <w:szCs w:val="18"/>
    </w:rPr>
  </w:style>
  <w:style w:type="character" w:customStyle="1" w:styleId="43">
    <w:name w:val="apple-converted-space"/>
    <w:basedOn w:val="25"/>
    <w:qFormat/>
    <w:uiPriority w:val="0"/>
  </w:style>
  <w:style w:type="character" w:customStyle="1" w:styleId="44">
    <w:name w:val="long_text"/>
    <w:basedOn w:val="25"/>
    <w:qFormat/>
    <w:uiPriority w:val="0"/>
  </w:style>
  <w:style w:type="character" w:customStyle="1" w:styleId="45">
    <w:name w:val="纯文本 Char"/>
    <w:basedOn w:val="25"/>
    <w:link w:val="11"/>
    <w:qFormat/>
    <w:uiPriority w:val="0"/>
    <w:rPr>
      <w:rFonts w:ascii="宋体" w:hAnsi="Courier New"/>
      <w:kern w:val="2"/>
      <w:sz w:val="21"/>
    </w:rPr>
  </w:style>
  <w:style w:type="character" w:customStyle="1" w:styleId="46">
    <w:name w:val="fl"/>
    <w:basedOn w:val="25"/>
    <w:qFormat/>
    <w:uiPriority w:val="0"/>
  </w:style>
  <w:style w:type="character" w:customStyle="1" w:styleId="47">
    <w:name w:val="批注文字 Char"/>
    <w:basedOn w:val="25"/>
    <w:link w:val="5"/>
    <w:semiHidden/>
    <w:qFormat/>
    <w:uiPriority w:val="0"/>
    <w:rPr>
      <w:kern w:val="2"/>
      <w:sz w:val="21"/>
      <w:szCs w:val="24"/>
    </w:rPr>
  </w:style>
  <w:style w:type="character" w:customStyle="1" w:styleId="48">
    <w:name w:val="批注主题 Char"/>
    <w:basedOn w:val="47"/>
    <w:link w:val="4"/>
    <w:semiHidden/>
    <w:qFormat/>
    <w:uiPriority w:val="0"/>
    <w:rPr>
      <w:b/>
      <w:bCs/>
      <w:kern w:val="2"/>
      <w:sz w:val="21"/>
      <w:szCs w:val="24"/>
    </w:rPr>
  </w:style>
  <w:style w:type="character" w:customStyle="1" w:styleId="49">
    <w:name w:val="页眉 Char"/>
    <w:basedOn w:val="25"/>
    <w:link w:val="1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9937D-3308-463D-9B80-BD297FA6B0AB}">
  <ds:schemaRefs/>
</ds:datastoreItem>
</file>

<file path=docProps/app.xml><?xml version="1.0" encoding="utf-8"?>
<Properties xmlns="http://schemas.openxmlformats.org/officeDocument/2006/extended-properties" xmlns:vt="http://schemas.openxmlformats.org/officeDocument/2006/docPropsVTypes">
  <Template>Normal</Template>
  <Company>zwy</Company>
  <Pages>4</Pages>
  <Words>383</Words>
  <Characters>2189</Characters>
  <Lines>18</Lines>
  <Paragraphs>5</Paragraphs>
  <TotalTime>3</TotalTime>
  <ScaleCrop>false</ScaleCrop>
  <LinksUpToDate>false</LinksUpToDate>
  <CharactersWithSpaces>2567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2018-10-24T08:06:00Z</dcterms:created>
  <dc:creator>lts</dc:creator>
  <cp:lastModifiedBy>John</cp:lastModifiedBy>
  <cp:lastPrinted>2013-02-23T08:11:00Z</cp:lastPrinted>
  <dcterms:modified xsi:type="dcterms:W3CDTF">2020-09-21T03:08:52Z</dcterms:modified>
  <dc:title>注射用卡络磺钠说明书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